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7E6CD" w14:textId="783ECCE7" w:rsidR="00C23AC4" w:rsidRDefault="00C23AC4" w:rsidP="00C23AC4">
      <w:pPr>
        <w:spacing w:before="100" w:beforeAutospacing="1" w:after="100" w:afterAutospacing="1" w:line="276" w:lineRule="auto"/>
        <w:rPr>
          <w:rFonts w:ascii="Times New Roman" w:hAnsi="Times New Roman" w:cs="Times New Roman"/>
        </w:rPr>
      </w:pPr>
      <w:r w:rsidRPr="00C23AC4">
        <w:rPr>
          <w:rFonts w:ascii="Times New Roman" w:hAnsi="Times New Roman" w:cs="Times New Roman"/>
        </w:rPr>
        <w:t>This is an Accepted Manuscript of an article published by Edinburgh University Press in</w:t>
      </w:r>
      <w:r>
        <w:rPr>
          <w:rFonts w:ascii="Times New Roman" w:hAnsi="Times New Roman" w:cs="Times New Roman"/>
        </w:rPr>
        <w:t xml:space="preserve"> </w:t>
      </w:r>
      <w:r w:rsidRPr="00C23AC4">
        <w:rPr>
          <w:rFonts w:ascii="Times New Roman" w:hAnsi="Times New Roman" w:cs="Times New Roman"/>
        </w:rPr>
        <w:t>African Journal of International and Comparative Law</w:t>
      </w:r>
      <w:r>
        <w:rPr>
          <w:rFonts w:ascii="Times New Roman" w:hAnsi="Times New Roman" w:cs="Times New Roman"/>
        </w:rPr>
        <w:t>.</w:t>
      </w:r>
      <w:r w:rsidRPr="00C23AC4">
        <w:rPr>
          <w:rFonts w:ascii="Times New Roman" w:hAnsi="Times New Roman" w:cs="Times New Roman"/>
        </w:rPr>
        <w:t xml:space="preserve"> The Version of Record is available online at: </w:t>
      </w:r>
      <w:hyperlink r:id="rId8" w:history="1">
        <w:r w:rsidRPr="008E53DC">
          <w:rPr>
            <w:rStyle w:val="Hyperlink"/>
            <w:rFonts w:ascii="Times New Roman" w:hAnsi="Times New Roman" w:cs="Times New Roman"/>
          </w:rPr>
          <w:t>https://www.euppublishing.com/doi/10.3366/ajicl.2026.0552</w:t>
        </w:r>
      </w:hyperlink>
      <w:r>
        <w:rPr>
          <w:rFonts w:ascii="Times New Roman" w:hAnsi="Times New Roman" w:cs="Times New Roman"/>
        </w:rPr>
        <w:t xml:space="preserve"> </w:t>
      </w:r>
    </w:p>
    <w:p w14:paraId="29A223FC"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7F5BDDDE"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0E240CF2"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6F0905D9"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4E7764E1"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3F9B6228"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01AB6BB7"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212860D8"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23339C61"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256F0F10"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41DD358E"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16812092"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78937EA8"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339BA060"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45717641"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1EC30DE7"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60D35F87"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55CD2D8B"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659190D6"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51099A16"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74060990"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5CD0F149"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4297A6F2"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5FDEA206"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7B947C3E" w14:textId="77777777" w:rsidR="00C23AC4" w:rsidRDefault="00C23AC4" w:rsidP="00FD2E43">
      <w:pPr>
        <w:spacing w:before="100" w:beforeAutospacing="1" w:after="100" w:afterAutospacing="1" w:line="276" w:lineRule="auto"/>
        <w:ind w:firstLine="720"/>
        <w:jc w:val="center"/>
        <w:rPr>
          <w:rFonts w:ascii="Times New Roman" w:hAnsi="Times New Roman" w:cs="Times New Roman"/>
        </w:rPr>
      </w:pPr>
    </w:p>
    <w:p w14:paraId="40CB027B" w14:textId="7AFA9E36" w:rsidR="00F27539" w:rsidRDefault="00F27539" w:rsidP="00FD2E43">
      <w:pPr>
        <w:spacing w:before="100" w:beforeAutospacing="1" w:after="100" w:afterAutospacing="1" w:line="276" w:lineRule="auto"/>
        <w:ind w:firstLine="720"/>
        <w:jc w:val="center"/>
        <w:rPr>
          <w:rFonts w:ascii="Times New Roman" w:hAnsi="Times New Roman" w:cs="Times New Roman"/>
        </w:rPr>
      </w:pPr>
      <w:r w:rsidRPr="007102CB">
        <w:rPr>
          <w:rFonts w:ascii="Times New Roman" w:hAnsi="Times New Roman" w:cs="Times New Roman"/>
        </w:rPr>
        <w:t xml:space="preserve">Unpacking the Relationship between State and NGO Recommendations in the UPR Process: Potential for Influence </w:t>
      </w:r>
      <w:r w:rsidR="001437CA">
        <w:rPr>
          <w:rFonts w:ascii="Times New Roman" w:hAnsi="Times New Roman" w:cs="Times New Roman"/>
        </w:rPr>
        <w:t>or</w:t>
      </w:r>
      <w:r w:rsidRPr="007102CB">
        <w:rPr>
          <w:rFonts w:ascii="Times New Roman" w:hAnsi="Times New Roman" w:cs="Times New Roman"/>
        </w:rPr>
        <w:t xml:space="preserve"> </w:t>
      </w:r>
      <w:r w:rsidR="002979DE" w:rsidRPr="007102CB">
        <w:rPr>
          <w:rFonts w:ascii="Times New Roman" w:hAnsi="Times New Roman" w:cs="Times New Roman"/>
        </w:rPr>
        <w:t>Alignment</w:t>
      </w:r>
      <w:r w:rsidRPr="007102CB">
        <w:rPr>
          <w:rFonts w:ascii="Times New Roman" w:hAnsi="Times New Roman" w:cs="Times New Roman"/>
        </w:rPr>
        <w:t>?</w:t>
      </w:r>
    </w:p>
    <w:p w14:paraId="7A780946" w14:textId="77777777" w:rsidR="00FC51AA" w:rsidRPr="00FC51AA" w:rsidRDefault="00FC51AA" w:rsidP="00FC51AA">
      <w:pPr>
        <w:jc w:val="both"/>
        <w:rPr>
          <w:rFonts w:ascii="Times New Roman" w:hAnsi="Times New Roman" w:cs="Times New Roman"/>
          <w:b/>
          <w:bCs/>
        </w:rPr>
      </w:pPr>
      <w:r w:rsidRPr="00FC51AA">
        <w:rPr>
          <w:rFonts w:ascii="Times New Roman" w:hAnsi="Times New Roman" w:cs="Times New Roman"/>
          <w:b/>
          <w:bCs/>
        </w:rPr>
        <w:t>Abstract</w:t>
      </w:r>
    </w:p>
    <w:p w14:paraId="59F14A61" w14:textId="7F89CA44" w:rsidR="00FC51AA" w:rsidRDefault="00FC51AA" w:rsidP="00FC51AA">
      <w:pPr>
        <w:jc w:val="both"/>
        <w:rPr>
          <w:rFonts w:ascii="Times New Roman" w:hAnsi="Times New Roman" w:cs="Times New Roman"/>
        </w:rPr>
      </w:pPr>
      <w:r>
        <w:rPr>
          <w:rFonts w:ascii="Times New Roman" w:hAnsi="Times New Roman" w:cs="Times New Roman"/>
        </w:rPr>
        <w:t>A substantial</w:t>
      </w:r>
      <w:r w:rsidRPr="00897B6E">
        <w:rPr>
          <w:rFonts w:ascii="Times New Roman" w:hAnsi="Times New Roman" w:cs="Times New Roman"/>
        </w:rPr>
        <w:t xml:space="preserve"> amount of scholarly works </w:t>
      </w:r>
      <w:r>
        <w:rPr>
          <w:rFonts w:ascii="Times New Roman" w:hAnsi="Times New Roman" w:cs="Times New Roman"/>
        </w:rPr>
        <w:t xml:space="preserve">have examined </w:t>
      </w:r>
      <w:r w:rsidRPr="00897B6E">
        <w:rPr>
          <w:rFonts w:ascii="Times New Roman" w:hAnsi="Times New Roman" w:cs="Times New Roman"/>
        </w:rPr>
        <w:t xml:space="preserve">the role of NGOs in various international human rights mechanisms including the treaty bodies, and to a limited extent the UN Human Rights Council’s Universal Periodic Review (UPR). </w:t>
      </w:r>
      <w:r w:rsidRPr="002245AE">
        <w:rPr>
          <w:rFonts w:ascii="Times New Roman" w:hAnsi="Times New Roman" w:cs="Times New Roman"/>
        </w:rPr>
        <w:t>This literature primarily focuses on NGO reporting and advocacy strategies to effectively engage with these</w:t>
      </w:r>
      <w:r>
        <w:rPr>
          <w:rFonts w:ascii="Times New Roman" w:hAnsi="Times New Roman" w:cs="Times New Roman"/>
        </w:rPr>
        <w:t xml:space="preserve"> international human rights</w:t>
      </w:r>
      <w:r w:rsidRPr="002245AE">
        <w:rPr>
          <w:rFonts w:ascii="Times New Roman" w:hAnsi="Times New Roman" w:cs="Times New Roman"/>
        </w:rPr>
        <w:t xml:space="preserve"> mechanisms and influence </w:t>
      </w:r>
      <w:r>
        <w:rPr>
          <w:rFonts w:ascii="Times New Roman" w:hAnsi="Times New Roman" w:cs="Times New Roman"/>
        </w:rPr>
        <w:t xml:space="preserve">their </w:t>
      </w:r>
      <w:r w:rsidRPr="002245AE">
        <w:rPr>
          <w:rFonts w:ascii="Times New Roman" w:hAnsi="Times New Roman" w:cs="Times New Roman"/>
        </w:rPr>
        <w:t xml:space="preserve">outcomes. Within the UPR context, recommendations for effective NGO engagement include forming coalitions, conducting advocacy and media campaigns, and participating in pre-session events in Geneva to shape the review process. However, the alignment between NGO recommendations in UPR reports and state recommendations remains underexplored in scholarly discourse. This gap is significant, as the UPR requires states to respond only to peer recommendations, not those from NGOs. The degree of alignment between state and NGO recommendations serves as a critical indicator of the relevance of state recommendations and their capacity to reflect the human rights priorities identified by NGOs. Focusing on Kenya and Zambia, this </w:t>
      </w:r>
      <w:r>
        <w:rPr>
          <w:rFonts w:ascii="Times New Roman" w:hAnsi="Times New Roman" w:cs="Times New Roman"/>
        </w:rPr>
        <w:t>paper</w:t>
      </w:r>
      <w:r w:rsidRPr="002245AE">
        <w:rPr>
          <w:rFonts w:ascii="Times New Roman" w:hAnsi="Times New Roman" w:cs="Times New Roman"/>
        </w:rPr>
        <w:t xml:space="preserve"> investigates the extent to which NGO recommendations in UPR reports align with state recommendations. Findings reveal alignment between NGO and state recommendations, though the strength of this alignment—both in thematic focus and recommendation quality—varies based on the nature of NGO advocacy strategies. Understanding areas of convergence and divergence, as well as their underlying factors, can enhance the UPR’s impact on domestic human rights. Given that states respond only to peer recommendations, examining the relationship between state and NGO recommendations is essential to assess whether state recommendations reflect the priorities and quality of those advanced by NGOs.</w:t>
      </w:r>
      <w:r>
        <w:rPr>
          <w:rFonts w:ascii="Times New Roman" w:hAnsi="Times New Roman" w:cs="Times New Roman"/>
        </w:rPr>
        <w:t xml:space="preserve"> </w:t>
      </w:r>
      <w:r w:rsidRPr="00897B6E">
        <w:rPr>
          <w:rFonts w:ascii="Times New Roman" w:hAnsi="Times New Roman" w:cs="Times New Roman"/>
        </w:rPr>
        <w:t>In response to the question whether NGO recommendations matter in the UPR process, our paper answers in the affirmative.</w:t>
      </w:r>
    </w:p>
    <w:p w14:paraId="78E22B05" w14:textId="0D472BC6" w:rsidR="00FC51AA" w:rsidRPr="007102CB" w:rsidRDefault="00035004" w:rsidP="00FC51AA">
      <w:pPr>
        <w:jc w:val="both"/>
        <w:rPr>
          <w:rFonts w:ascii="Times New Roman" w:hAnsi="Times New Roman" w:cs="Times New Roman"/>
        </w:rPr>
      </w:pPr>
      <w:r w:rsidRPr="00035004">
        <w:rPr>
          <w:rFonts w:ascii="Times New Roman" w:hAnsi="Times New Roman" w:cs="Times New Roman"/>
        </w:rPr>
        <w:t>Key words: UN Human Rights Council; NGO Recommendations; State Recommendations; Universal Periodic Review</w:t>
      </w:r>
    </w:p>
    <w:p w14:paraId="787F3C88" w14:textId="54A1E96F" w:rsidR="00F27539" w:rsidRPr="007102CB" w:rsidRDefault="005F23A5" w:rsidP="00770443">
      <w:pPr>
        <w:pStyle w:val="Heading2"/>
        <w:numPr>
          <w:ilvl w:val="0"/>
          <w:numId w:val="16"/>
        </w:numPr>
        <w:spacing w:before="100" w:beforeAutospacing="1" w:after="100" w:afterAutospacing="1" w:line="276" w:lineRule="auto"/>
        <w:rPr>
          <w:rFonts w:ascii="Times New Roman" w:hAnsi="Times New Roman" w:cs="Times New Roman"/>
          <w:color w:val="auto"/>
        </w:rPr>
      </w:pPr>
      <w:r w:rsidRPr="007102CB">
        <w:rPr>
          <w:rFonts w:ascii="Times New Roman" w:hAnsi="Times New Roman" w:cs="Times New Roman"/>
          <w:color w:val="auto"/>
        </w:rPr>
        <w:t>Introduction</w:t>
      </w:r>
    </w:p>
    <w:p w14:paraId="689E9A81" w14:textId="4DA44FD0" w:rsidR="005F23A5" w:rsidRPr="007102CB" w:rsidRDefault="00B843CA"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International </w:t>
      </w:r>
      <w:r w:rsidR="00741D1D" w:rsidRPr="007102CB">
        <w:rPr>
          <w:rFonts w:ascii="Times New Roman" w:hAnsi="Times New Roman" w:cs="Times New Roman"/>
        </w:rPr>
        <w:t xml:space="preserve">human rights </w:t>
      </w:r>
      <w:r w:rsidRPr="007102CB">
        <w:rPr>
          <w:rFonts w:ascii="Times New Roman" w:hAnsi="Times New Roman" w:cs="Times New Roman"/>
        </w:rPr>
        <w:t xml:space="preserve">monitoring mechanisms play an important role in improving domestic protection for human rights by monitoring the human rights situation within states, the actions/inaction of human rights duty bearers, and reinforcing </w:t>
      </w:r>
      <w:r w:rsidR="003745F1" w:rsidRPr="007102CB">
        <w:rPr>
          <w:rFonts w:ascii="Times New Roman" w:hAnsi="Times New Roman" w:cs="Times New Roman"/>
        </w:rPr>
        <w:t>state accountability for human rights violations</w:t>
      </w:r>
      <w:r w:rsidR="004020C4" w:rsidRPr="007102CB">
        <w:rPr>
          <w:rFonts w:ascii="Times New Roman" w:hAnsi="Times New Roman" w:cs="Times New Roman"/>
        </w:rPr>
        <w:t xml:space="preserve">. </w:t>
      </w:r>
      <w:r w:rsidR="00741D1D" w:rsidRPr="007102CB">
        <w:rPr>
          <w:rFonts w:ascii="Times New Roman" w:hAnsi="Times New Roman" w:cs="Times New Roman"/>
        </w:rPr>
        <w:t>Access to credible information about the human rights situation on the ground is crucial to the work of international human</w:t>
      </w:r>
      <w:r w:rsidR="004020C4" w:rsidRPr="007102CB">
        <w:rPr>
          <w:rFonts w:ascii="Times New Roman" w:hAnsi="Times New Roman" w:cs="Times New Roman"/>
        </w:rPr>
        <w:t xml:space="preserve"> </w:t>
      </w:r>
      <w:r w:rsidR="00741D1D" w:rsidRPr="007102CB">
        <w:rPr>
          <w:rFonts w:ascii="Times New Roman" w:hAnsi="Times New Roman" w:cs="Times New Roman"/>
        </w:rPr>
        <w:t xml:space="preserve">rights monitoring mechanisms and </w:t>
      </w:r>
      <w:r w:rsidR="001C1B1E" w:rsidRPr="007102CB">
        <w:rPr>
          <w:rFonts w:ascii="Times New Roman" w:hAnsi="Times New Roman" w:cs="Times New Roman"/>
        </w:rPr>
        <w:t>Non-Governmental Organisations (</w:t>
      </w:r>
      <w:r w:rsidR="00741D1D" w:rsidRPr="007102CB">
        <w:rPr>
          <w:rFonts w:ascii="Times New Roman" w:hAnsi="Times New Roman" w:cs="Times New Roman"/>
        </w:rPr>
        <w:t>NGOs</w:t>
      </w:r>
      <w:r w:rsidR="000E38CB" w:rsidRPr="007102CB">
        <w:rPr>
          <w:rFonts w:ascii="Times New Roman" w:hAnsi="Times New Roman" w:cs="Times New Roman"/>
        </w:rPr>
        <w:t>)</w:t>
      </w:r>
      <w:r w:rsidR="00741D1D" w:rsidRPr="007102CB">
        <w:rPr>
          <w:rFonts w:ascii="Times New Roman" w:hAnsi="Times New Roman" w:cs="Times New Roman"/>
        </w:rPr>
        <w:t xml:space="preserve"> play a vital role in </w:t>
      </w:r>
      <w:r w:rsidR="000C3FC6" w:rsidRPr="007102CB">
        <w:rPr>
          <w:rFonts w:ascii="Times New Roman" w:hAnsi="Times New Roman" w:cs="Times New Roman"/>
        </w:rPr>
        <w:t xml:space="preserve">the collection and dissemination of information about human rights abuses. The international human rights system relies heavily on information provided by NGOs. Therefore, the participation of NGOs in the international human rights system can help strengthen the system </w:t>
      </w:r>
      <w:r w:rsidR="00CC082F" w:rsidRPr="007102CB">
        <w:rPr>
          <w:rFonts w:ascii="Times New Roman" w:hAnsi="Times New Roman" w:cs="Times New Roman"/>
        </w:rPr>
        <w:t>and increase the promotion and protection of human rights. The importance of NGO participation within UN mechanisms is acknowledged in Article 71 of the UN Charter</w:t>
      </w:r>
      <w:r w:rsidR="001960DA">
        <w:rPr>
          <w:rStyle w:val="FootnoteReference"/>
          <w:rFonts w:ascii="Times New Roman" w:hAnsi="Times New Roman" w:cs="Times New Roman"/>
        </w:rPr>
        <w:footnoteReference w:id="2"/>
      </w:r>
      <w:r w:rsidR="00CC082F" w:rsidRPr="007102CB">
        <w:rPr>
          <w:rFonts w:ascii="Times New Roman" w:hAnsi="Times New Roman" w:cs="Times New Roman"/>
        </w:rPr>
        <w:t xml:space="preserve"> and ECOSOC resolution 1996/31 </w:t>
      </w:r>
      <w:r w:rsidR="00CC082F" w:rsidRPr="007102CB">
        <w:rPr>
          <w:rFonts w:ascii="Times New Roman" w:hAnsi="Times New Roman" w:cs="Times New Roman"/>
        </w:rPr>
        <w:lastRenderedPageBreak/>
        <w:t>which recognises ‘the breadth of non-governmental organisations’ expertise and the capacity of nongovernmental organisations to support the work of the United Nations’</w:t>
      </w:r>
      <w:r w:rsidR="00607BCE">
        <w:rPr>
          <w:rFonts w:ascii="Times New Roman" w:hAnsi="Times New Roman" w:cs="Times New Roman"/>
        </w:rPr>
        <w:t>.</w:t>
      </w:r>
      <w:r w:rsidR="00607BCE">
        <w:rPr>
          <w:rStyle w:val="FootnoteReference"/>
          <w:rFonts w:ascii="Times New Roman" w:hAnsi="Times New Roman" w:cs="Times New Roman"/>
        </w:rPr>
        <w:footnoteReference w:id="3"/>
      </w:r>
      <w:r w:rsidR="00CC082F" w:rsidRPr="007102CB">
        <w:rPr>
          <w:rFonts w:ascii="Times New Roman" w:hAnsi="Times New Roman" w:cs="Times New Roman"/>
        </w:rPr>
        <w:t xml:space="preserve"> </w:t>
      </w:r>
      <w:r w:rsidR="00553F0C" w:rsidRPr="007102CB">
        <w:rPr>
          <w:rFonts w:ascii="Times New Roman" w:hAnsi="Times New Roman" w:cs="Times New Roman"/>
        </w:rPr>
        <w:t xml:space="preserve">UN </w:t>
      </w:r>
      <w:r w:rsidR="00CC082F" w:rsidRPr="007102CB">
        <w:rPr>
          <w:rFonts w:ascii="Times New Roman" w:hAnsi="Times New Roman" w:cs="Times New Roman"/>
        </w:rPr>
        <w:t>Human Rights Council</w:t>
      </w:r>
      <w:r w:rsidR="002271CE" w:rsidRPr="007102CB">
        <w:rPr>
          <w:rFonts w:ascii="Times New Roman" w:hAnsi="Times New Roman" w:cs="Times New Roman"/>
        </w:rPr>
        <w:t xml:space="preserve"> (HRC)</w:t>
      </w:r>
      <w:r w:rsidR="00CC082F" w:rsidRPr="007102CB">
        <w:rPr>
          <w:rFonts w:ascii="Times New Roman" w:hAnsi="Times New Roman" w:cs="Times New Roman"/>
        </w:rPr>
        <w:t xml:space="preserve"> resolutions 27/31</w:t>
      </w:r>
      <w:r w:rsidR="008A1A32">
        <w:rPr>
          <w:rStyle w:val="FootnoteReference"/>
          <w:rFonts w:ascii="Times New Roman" w:hAnsi="Times New Roman" w:cs="Times New Roman"/>
        </w:rPr>
        <w:footnoteReference w:id="4"/>
      </w:r>
      <w:r w:rsidR="00CC082F" w:rsidRPr="007102CB">
        <w:rPr>
          <w:rFonts w:ascii="Times New Roman" w:hAnsi="Times New Roman" w:cs="Times New Roman"/>
        </w:rPr>
        <w:t xml:space="preserve"> and 24/21</w:t>
      </w:r>
      <w:r w:rsidR="007101CD">
        <w:rPr>
          <w:rStyle w:val="FootnoteReference"/>
          <w:rFonts w:ascii="Times New Roman" w:hAnsi="Times New Roman" w:cs="Times New Roman"/>
        </w:rPr>
        <w:footnoteReference w:id="5"/>
      </w:r>
      <w:r w:rsidR="00CC082F" w:rsidRPr="007102CB">
        <w:rPr>
          <w:rFonts w:ascii="Times New Roman" w:hAnsi="Times New Roman" w:cs="Times New Roman"/>
        </w:rPr>
        <w:t xml:space="preserve"> adopted in 2013 and 2014 respectively, </w:t>
      </w:r>
      <w:r w:rsidR="005A1A94" w:rsidRPr="007102CB">
        <w:rPr>
          <w:rFonts w:ascii="Times New Roman" w:hAnsi="Times New Roman" w:cs="Times New Roman"/>
        </w:rPr>
        <w:t>acknowledges the importance of actively involving civil society at the local, national and international levels, and that ‘civil society facilitates the achievement of the purposes and principles of the United Nations’</w:t>
      </w:r>
      <w:r w:rsidR="00FE17CC">
        <w:rPr>
          <w:rFonts w:ascii="Times New Roman" w:hAnsi="Times New Roman" w:cs="Times New Roman"/>
        </w:rPr>
        <w:t>.</w:t>
      </w:r>
      <w:r w:rsidR="00973A74">
        <w:rPr>
          <w:rStyle w:val="FootnoteReference"/>
          <w:rFonts w:ascii="Times New Roman" w:hAnsi="Times New Roman" w:cs="Times New Roman"/>
        </w:rPr>
        <w:footnoteReference w:id="6"/>
      </w:r>
    </w:p>
    <w:p w14:paraId="3482B51B" w14:textId="6B714D62" w:rsidR="00E0640F" w:rsidRPr="007102CB" w:rsidRDefault="005A1A94"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There</w:t>
      </w:r>
      <w:r w:rsidR="008638D2">
        <w:rPr>
          <w:rFonts w:ascii="Times New Roman" w:hAnsi="Times New Roman" w:cs="Times New Roman"/>
        </w:rPr>
        <w:t xml:space="preserve"> </w:t>
      </w:r>
      <w:r w:rsidR="00383280">
        <w:rPr>
          <w:rFonts w:ascii="Times New Roman" w:hAnsi="Times New Roman" w:cs="Times New Roman"/>
        </w:rPr>
        <w:t>is</w:t>
      </w:r>
      <w:r w:rsidRPr="007102CB">
        <w:rPr>
          <w:rFonts w:ascii="Times New Roman" w:hAnsi="Times New Roman" w:cs="Times New Roman"/>
        </w:rPr>
        <w:t xml:space="preserve"> significant amount of scholarly works examining the </w:t>
      </w:r>
      <w:r w:rsidR="005A1388" w:rsidRPr="007102CB">
        <w:rPr>
          <w:rFonts w:ascii="Times New Roman" w:hAnsi="Times New Roman" w:cs="Times New Roman"/>
        </w:rPr>
        <w:t>role of NGOs in various international human rights mechanisms including the treaty bodies</w:t>
      </w:r>
      <w:r w:rsidR="00737C94">
        <w:rPr>
          <w:rFonts w:ascii="Times New Roman" w:hAnsi="Times New Roman" w:cs="Times New Roman"/>
        </w:rPr>
        <w:t>,</w:t>
      </w:r>
      <w:r w:rsidR="00737C94">
        <w:rPr>
          <w:rStyle w:val="FootnoteReference"/>
          <w:rFonts w:ascii="Times New Roman" w:hAnsi="Times New Roman" w:cs="Times New Roman"/>
        </w:rPr>
        <w:footnoteReference w:id="7"/>
      </w:r>
      <w:r w:rsidR="006D57BE" w:rsidRPr="007102CB">
        <w:rPr>
          <w:rFonts w:ascii="Times New Roman" w:hAnsi="Times New Roman" w:cs="Times New Roman"/>
        </w:rPr>
        <w:t xml:space="preserve"> </w:t>
      </w:r>
      <w:r w:rsidR="00203A62" w:rsidRPr="007102CB">
        <w:rPr>
          <w:rFonts w:ascii="Times New Roman" w:hAnsi="Times New Roman" w:cs="Times New Roman"/>
        </w:rPr>
        <w:t>and to a limited extent the UN Human Rights Council’s Universal Periodic Review</w:t>
      </w:r>
      <w:r w:rsidR="00061285" w:rsidRPr="007102CB">
        <w:rPr>
          <w:rFonts w:ascii="Times New Roman" w:hAnsi="Times New Roman" w:cs="Times New Roman"/>
        </w:rPr>
        <w:t xml:space="preserve"> (UPR)</w:t>
      </w:r>
      <w:r w:rsidR="00203A62" w:rsidRPr="007102CB">
        <w:rPr>
          <w:rFonts w:ascii="Times New Roman" w:hAnsi="Times New Roman" w:cs="Times New Roman"/>
        </w:rPr>
        <w:t>.</w:t>
      </w:r>
      <w:r w:rsidR="00640768">
        <w:rPr>
          <w:rStyle w:val="FootnoteReference"/>
          <w:rFonts w:ascii="Times New Roman" w:hAnsi="Times New Roman" w:cs="Times New Roman"/>
        </w:rPr>
        <w:footnoteReference w:id="8"/>
      </w:r>
      <w:r w:rsidR="00203A62" w:rsidRPr="007102CB">
        <w:rPr>
          <w:rFonts w:ascii="Times New Roman" w:hAnsi="Times New Roman" w:cs="Times New Roman"/>
        </w:rPr>
        <w:t xml:space="preserve"> These works have focused on </w:t>
      </w:r>
      <w:r w:rsidR="00B83B5A" w:rsidRPr="007102CB">
        <w:rPr>
          <w:rFonts w:ascii="Times New Roman" w:hAnsi="Times New Roman" w:cs="Times New Roman"/>
        </w:rPr>
        <w:t>NGO reporting and the advocacy strategies NGOs can deplo</w:t>
      </w:r>
      <w:r w:rsidR="001357AC">
        <w:rPr>
          <w:rFonts w:ascii="Times New Roman" w:hAnsi="Times New Roman" w:cs="Times New Roman"/>
        </w:rPr>
        <w:t>y</w:t>
      </w:r>
      <w:r w:rsidR="00B83B5A" w:rsidRPr="007102CB">
        <w:rPr>
          <w:rFonts w:ascii="Times New Roman" w:hAnsi="Times New Roman" w:cs="Times New Roman"/>
        </w:rPr>
        <w:t xml:space="preserve"> to effectively engage with the mechanism and exert some influence. </w:t>
      </w:r>
      <w:r w:rsidR="004807B8" w:rsidRPr="007102CB">
        <w:rPr>
          <w:rFonts w:ascii="Times New Roman" w:hAnsi="Times New Roman" w:cs="Times New Roman"/>
        </w:rPr>
        <w:t xml:space="preserve">Within the context of the UPR, </w:t>
      </w:r>
      <w:r w:rsidR="006813EE" w:rsidRPr="007102CB">
        <w:rPr>
          <w:rFonts w:ascii="Times New Roman" w:hAnsi="Times New Roman" w:cs="Times New Roman"/>
        </w:rPr>
        <w:t>a range of recommendations have been made on how NGOs can effectively engage with the mechanism including the formation of coalitions, advocacy and media campaigns, and pre-session events in Geneva</w:t>
      </w:r>
      <w:r w:rsidR="00791D3B">
        <w:rPr>
          <w:rStyle w:val="FootnoteReference"/>
          <w:rFonts w:ascii="Times New Roman" w:hAnsi="Times New Roman" w:cs="Times New Roman"/>
        </w:rPr>
        <w:footnoteReference w:id="9"/>
      </w:r>
      <w:r w:rsidR="005A2608" w:rsidRPr="007102CB">
        <w:rPr>
          <w:rFonts w:ascii="Times New Roman" w:hAnsi="Times New Roman" w:cs="Times New Roman"/>
        </w:rPr>
        <w:t xml:space="preserve"> </w:t>
      </w:r>
      <w:r w:rsidR="006813EE" w:rsidRPr="007102CB">
        <w:rPr>
          <w:rFonts w:ascii="Times New Roman" w:hAnsi="Times New Roman" w:cs="Times New Roman"/>
        </w:rPr>
        <w:t xml:space="preserve">with the goal of influencing the outcome of the review process, including the human rights recommendations states make to their peers. What is yet to be examined in the scholarly literature is </w:t>
      </w:r>
      <w:r w:rsidR="0099193F" w:rsidRPr="007102CB">
        <w:rPr>
          <w:rFonts w:ascii="Times New Roman" w:hAnsi="Times New Roman" w:cs="Times New Roman"/>
        </w:rPr>
        <w:t>the extent to which human rights concerns and recommendations raised by NGOs in their UPR report aligns with the state recommendations. In 2013, Edward R. McMahon et al raised the question whether NGO recommendations matter in the UPR process</w:t>
      </w:r>
      <w:r w:rsidR="00DA260F">
        <w:rPr>
          <w:rFonts w:ascii="Times New Roman" w:hAnsi="Times New Roman" w:cs="Times New Roman"/>
        </w:rPr>
        <w:t>.</w:t>
      </w:r>
      <w:r w:rsidR="00DA260F">
        <w:rPr>
          <w:rStyle w:val="FootnoteReference"/>
          <w:rFonts w:ascii="Times New Roman" w:hAnsi="Times New Roman" w:cs="Times New Roman"/>
        </w:rPr>
        <w:footnoteReference w:id="10"/>
      </w:r>
      <w:r w:rsidR="00E94DF0" w:rsidRPr="007102CB">
        <w:rPr>
          <w:rFonts w:ascii="Times New Roman" w:hAnsi="Times New Roman" w:cs="Times New Roman"/>
        </w:rPr>
        <w:t xml:space="preserve"> </w:t>
      </w:r>
      <w:r w:rsidR="0099193F" w:rsidRPr="007102CB">
        <w:rPr>
          <w:rFonts w:ascii="Times New Roman" w:hAnsi="Times New Roman" w:cs="Times New Roman"/>
        </w:rPr>
        <w:t xml:space="preserve">This is an important question </w:t>
      </w:r>
      <w:r w:rsidR="0033158D">
        <w:rPr>
          <w:rFonts w:ascii="Times New Roman" w:hAnsi="Times New Roman" w:cs="Times New Roman"/>
        </w:rPr>
        <w:t xml:space="preserve">which has not yet been meaningfully answered </w:t>
      </w:r>
      <w:r w:rsidR="0099193F" w:rsidRPr="007102CB">
        <w:rPr>
          <w:rFonts w:ascii="Times New Roman" w:hAnsi="Times New Roman" w:cs="Times New Roman"/>
        </w:rPr>
        <w:t>considering the UPR does not require states to respond directly to NGO recommendations but recommendations from other states</w:t>
      </w:r>
      <w:r w:rsidR="00DC67BB">
        <w:rPr>
          <w:rFonts w:ascii="Times New Roman" w:hAnsi="Times New Roman" w:cs="Times New Roman"/>
        </w:rPr>
        <w:t xml:space="preserve"> (peers)</w:t>
      </w:r>
      <w:r w:rsidR="0099193F" w:rsidRPr="007102CB">
        <w:rPr>
          <w:rFonts w:ascii="Times New Roman" w:hAnsi="Times New Roman" w:cs="Times New Roman"/>
        </w:rPr>
        <w:t>.</w:t>
      </w:r>
      <w:r w:rsidR="00071911" w:rsidRPr="007102CB">
        <w:rPr>
          <w:rFonts w:ascii="Times New Roman" w:hAnsi="Times New Roman" w:cs="Times New Roman"/>
        </w:rPr>
        <w:t xml:space="preserve"> The extent to which State UPR recommendations align with NGO recommendations is a strong indication of the relevance of State UPR recommendations and the ability of states to prioritise the major human rights concerns raised in NGO reports. </w:t>
      </w:r>
      <w:r w:rsidR="00715BCD" w:rsidRPr="007102CB">
        <w:rPr>
          <w:rFonts w:ascii="Times New Roman" w:hAnsi="Times New Roman" w:cs="Times New Roman"/>
        </w:rPr>
        <w:t xml:space="preserve"> </w:t>
      </w:r>
    </w:p>
    <w:p w14:paraId="59372974" w14:textId="2089911C" w:rsidR="00643CE9" w:rsidRPr="007102CB" w:rsidRDefault="00715BCD"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With a focus on </w:t>
      </w:r>
      <w:r w:rsidR="002F659E" w:rsidRPr="007102CB">
        <w:rPr>
          <w:rFonts w:ascii="Times New Roman" w:hAnsi="Times New Roman" w:cs="Times New Roman"/>
        </w:rPr>
        <w:t>Kenya</w:t>
      </w:r>
      <w:r w:rsidRPr="007102CB">
        <w:rPr>
          <w:rFonts w:ascii="Times New Roman" w:hAnsi="Times New Roman" w:cs="Times New Roman"/>
        </w:rPr>
        <w:t xml:space="preserve"> and </w:t>
      </w:r>
      <w:r w:rsidR="002F659E" w:rsidRPr="007102CB">
        <w:rPr>
          <w:rFonts w:ascii="Times New Roman" w:hAnsi="Times New Roman" w:cs="Times New Roman"/>
        </w:rPr>
        <w:t>Zambia</w:t>
      </w:r>
      <w:r w:rsidRPr="007102CB">
        <w:rPr>
          <w:rFonts w:ascii="Times New Roman" w:hAnsi="Times New Roman" w:cs="Times New Roman"/>
        </w:rPr>
        <w:t xml:space="preserve">, this paper examines the extent to which UPR recommendations made by NGOs in </w:t>
      </w:r>
      <w:r w:rsidR="002F659E" w:rsidRPr="007102CB">
        <w:rPr>
          <w:rFonts w:ascii="Times New Roman" w:hAnsi="Times New Roman" w:cs="Times New Roman"/>
        </w:rPr>
        <w:t>Kenya</w:t>
      </w:r>
      <w:r w:rsidRPr="007102CB">
        <w:rPr>
          <w:rFonts w:ascii="Times New Roman" w:hAnsi="Times New Roman" w:cs="Times New Roman"/>
        </w:rPr>
        <w:t xml:space="preserve"> and </w:t>
      </w:r>
      <w:r w:rsidR="002F659E" w:rsidRPr="007102CB">
        <w:rPr>
          <w:rFonts w:ascii="Times New Roman" w:hAnsi="Times New Roman" w:cs="Times New Roman"/>
        </w:rPr>
        <w:t>Zambia</w:t>
      </w:r>
      <w:r w:rsidRPr="007102CB">
        <w:rPr>
          <w:rFonts w:ascii="Times New Roman" w:hAnsi="Times New Roman" w:cs="Times New Roman"/>
        </w:rPr>
        <w:t xml:space="preserve"> correlate with state UPR recommendations. We argue that </w:t>
      </w:r>
      <w:r w:rsidR="00ED3E9F" w:rsidRPr="007102CB">
        <w:rPr>
          <w:rFonts w:ascii="Times New Roman" w:hAnsi="Times New Roman" w:cs="Times New Roman"/>
        </w:rPr>
        <w:t>while there</w:t>
      </w:r>
      <w:r w:rsidR="008638D2">
        <w:rPr>
          <w:rFonts w:ascii="Times New Roman" w:hAnsi="Times New Roman" w:cs="Times New Roman"/>
        </w:rPr>
        <w:t xml:space="preserve"> is</w:t>
      </w:r>
      <w:r w:rsidR="00ED3E9F" w:rsidRPr="007102CB">
        <w:rPr>
          <w:rFonts w:ascii="Times New Roman" w:hAnsi="Times New Roman" w:cs="Times New Roman"/>
        </w:rPr>
        <w:t xml:space="preserve"> a significant correlation between state and NGO recommendations, the extent of this correlation may be impacted by the existence of a national UPR coalition, participation in pre-review sessions and </w:t>
      </w:r>
      <w:r w:rsidR="00ED3E9F" w:rsidRPr="007102CB">
        <w:rPr>
          <w:rFonts w:ascii="Times New Roman" w:hAnsi="Times New Roman" w:cs="Times New Roman"/>
        </w:rPr>
        <w:lastRenderedPageBreak/>
        <w:t xml:space="preserve">the existence of advocacy strategies. </w:t>
      </w:r>
      <w:r w:rsidR="00951189" w:rsidRPr="007102CB">
        <w:rPr>
          <w:rFonts w:ascii="Times New Roman" w:hAnsi="Times New Roman" w:cs="Times New Roman"/>
        </w:rPr>
        <w:t>In section II</w:t>
      </w:r>
      <w:r w:rsidR="00817F87">
        <w:rPr>
          <w:rFonts w:ascii="Times New Roman" w:hAnsi="Times New Roman" w:cs="Times New Roman"/>
        </w:rPr>
        <w:t xml:space="preserve"> of this paper</w:t>
      </w:r>
      <w:r w:rsidR="00951189" w:rsidRPr="007102CB">
        <w:rPr>
          <w:rFonts w:ascii="Times New Roman" w:hAnsi="Times New Roman" w:cs="Times New Roman"/>
        </w:rPr>
        <w:t>, we examin</w:t>
      </w:r>
      <w:r w:rsidR="00D14334" w:rsidRPr="007102CB">
        <w:rPr>
          <w:rFonts w:ascii="Times New Roman" w:hAnsi="Times New Roman" w:cs="Times New Roman"/>
        </w:rPr>
        <w:t xml:space="preserve">e NGO participation in the </w:t>
      </w:r>
      <w:r w:rsidR="00FD3034">
        <w:rPr>
          <w:rFonts w:ascii="Times New Roman" w:hAnsi="Times New Roman" w:cs="Times New Roman"/>
        </w:rPr>
        <w:t xml:space="preserve">context of the </w:t>
      </w:r>
      <w:r w:rsidR="00D14334" w:rsidRPr="007102CB">
        <w:rPr>
          <w:rFonts w:ascii="Times New Roman" w:hAnsi="Times New Roman" w:cs="Times New Roman"/>
        </w:rPr>
        <w:t>UPR process</w:t>
      </w:r>
      <w:r w:rsidR="001C72C4">
        <w:rPr>
          <w:rFonts w:ascii="Times New Roman" w:hAnsi="Times New Roman" w:cs="Times New Roman"/>
        </w:rPr>
        <w:t xml:space="preserve"> and opportunities to influence state recommendations by</w:t>
      </w:r>
      <w:r w:rsidR="00D14334" w:rsidRPr="007102CB">
        <w:rPr>
          <w:rFonts w:ascii="Times New Roman" w:hAnsi="Times New Roman" w:cs="Times New Roman"/>
        </w:rPr>
        <w:t xml:space="preserve"> focusing on </w:t>
      </w:r>
      <w:r w:rsidR="00A66C23" w:rsidRPr="007102CB">
        <w:rPr>
          <w:rFonts w:ascii="Times New Roman" w:hAnsi="Times New Roman" w:cs="Times New Roman"/>
        </w:rPr>
        <w:t>four key actions</w:t>
      </w:r>
      <w:r w:rsidR="005B3392" w:rsidRPr="007102CB">
        <w:rPr>
          <w:rFonts w:ascii="Times New Roman" w:hAnsi="Times New Roman" w:cs="Times New Roman"/>
        </w:rPr>
        <w:t xml:space="preserve"> (</w:t>
      </w:r>
      <w:r w:rsidR="00CE3DDD" w:rsidRPr="007102CB">
        <w:rPr>
          <w:rFonts w:ascii="Times New Roman" w:hAnsi="Times New Roman" w:cs="Times New Roman"/>
        </w:rPr>
        <w:t>national consultation strategies, Geneva pre-review side events</w:t>
      </w:r>
      <w:r w:rsidR="00ED47C7" w:rsidRPr="007102CB">
        <w:rPr>
          <w:rFonts w:ascii="Times New Roman" w:hAnsi="Times New Roman" w:cs="Times New Roman"/>
        </w:rPr>
        <w:t>, media/advocacy strategies and lobbying efforts)</w:t>
      </w:r>
      <w:r w:rsidR="005B3392" w:rsidRPr="007102CB">
        <w:rPr>
          <w:rFonts w:ascii="Times New Roman" w:hAnsi="Times New Roman" w:cs="Times New Roman"/>
        </w:rPr>
        <w:t xml:space="preserve">. </w:t>
      </w:r>
      <w:r w:rsidR="001B2714">
        <w:rPr>
          <w:rFonts w:ascii="Times New Roman" w:hAnsi="Times New Roman" w:cs="Times New Roman"/>
        </w:rPr>
        <w:t>W</w:t>
      </w:r>
      <w:r w:rsidR="009D7FB5" w:rsidRPr="007102CB">
        <w:rPr>
          <w:rFonts w:ascii="Times New Roman" w:hAnsi="Times New Roman" w:cs="Times New Roman"/>
        </w:rPr>
        <w:t xml:space="preserve">e </w:t>
      </w:r>
      <w:r w:rsidR="001B2714">
        <w:rPr>
          <w:rFonts w:ascii="Times New Roman" w:hAnsi="Times New Roman" w:cs="Times New Roman"/>
        </w:rPr>
        <w:t xml:space="preserve">then </w:t>
      </w:r>
      <w:r w:rsidR="009D7FB5" w:rsidRPr="007102CB">
        <w:rPr>
          <w:rFonts w:ascii="Times New Roman" w:hAnsi="Times New Roman" w:cs="Times New Roman"/>
        </w:rPr>
        <w:t>undertake</w:t>
      </w:r>
      <w:r w:rsidR="004D33E5" w:rsidRPr="007102CB">
        <w:rPr>
          <w:rFonts w:ascii="Times New Roman" w:hAnsi="Times New Roman" w:cs="Times New Roman"/>
        </w:rPr>
        <w:t xml:space="preserve"> an</w:t>
      </w:r>
      <w:r w:rsidR="008C1E49" w:rsidRPr="007102CB">
        <w:rPr>
          <w:rFonts w:ascii="Times New Roman" w:hAnsi="Times New Roman" w:cs="Times New Roman"/>
        </w:rPr>
        <w:t xml:space="preserve"> empirical analysis of </w:t>
      </w:r>
      <w:r w:rsidR="00C2069A" w:rsidRPr="007102CB">
        <w:rPr>
          <w:rFonts w:ascii="Times New Roman" w:hAnsi="Times New Roman" w:cs="Times New Roman"/>
        </w:rPr>
        <w:t>over 1</w:t>
      </w:r>
      <w:r w:rsidR="001140CC" w:rsidRPr="007102CB">
        <w:rPr>
          <w:rFonts w:ascii="Times New Roman" w:hAnsi="Times New Roman" w:cs="Times New Roman"/>
        </w:rPr>
        <w:t>400</w:t>
      </w:r>
      <w:r w:rsidR="008C1E49" w:rsidRPr="007102CB">
        <w:rPr>
          <w:rFonts w:ascii="Times New Roman" w:hAnsi="Times New Roman" w:cs="Times New Roman"/>
        </w:rPr>
        <w:t xml:space="preserve"> state and NGO recommendations for </w:t>
      </w:r>
      <w:r w:rsidR="00465AF9" w:rsidRPr="007102CB">
        <w:rPr>
          <w:rFonts w:ascii="Times New Roman" w:hAnsi="Times New Roman" w:cs="Times New Roman"/>
        </w:rPr>
        <w:t>Kenya</w:t>
      </w:r>
      <w:r w:rsidR="008C1E49" w:rsidRPr="007102CB">
        <w:rPr>
          <w:rFonts w:ascii="Times New Roman" w:hAnsi="Times New Roman" w:cs="Times New Roman"/>
        </w:rPr>
        <w:t xml:space="preserve"> and </w:t>
      </w:r>
      <w:r w:rsidR="00465AF9" w:rsidRPr="007102CB">
        <w:rPr>
          <w:rFonts w:ascii="Times New Roman" w:hAnsi="Times New Roman" w:cs="Times New Roman"/>
        </w:rPr>
        <w:t>Zambia</w:t>
      </w:r>
      <w:r w:rsidR="008C1E49" w:rsidRPr="007102CB">
        <w:rPr>
          <w:rFonts w:ascii="Times New Roman" w:hAnsi="Times New Roman" w:cs="Times New Roman"/>
        </w:rPr>
        <w:t xml:space="preserve"> in </w:t>
      </w:r>
      <w:r w:rsidR="004D33E5" w:rsidRPr="007102CB">
        <w:rPr>
          <w:rFonts w:ascii="Times New Roman" w:hAnsi="Times New Roman" w:cs="Times New Roman"/>
        </w:rPr>
        <w:t>S</w:t>
      </w:r>
      <w:r w:rsidR="008C1E49" w:rsidRPr="007102CB">
        <w:rPr>
          <w:rFonts w:ascii="Times New Roman" w:hAnsi="Times New Roman" w:cs="Times New Roman"/>
        </w:rPr>
        <w:t xml:space="preserve">ection </w:t>
      </w:r>
      <w:r w:rsidR="001B2714">
        <w:rPr>
          <w:rFonts w:ascii="Times New Roman" w:hAnsi="Times New Roman" w:cs="Times New Roman"/>
        </w:rPr>
        <w:t>I</w:t>
      </w:r>
      <w:r w:rsidR="00817F87">
        <w:rPr>
          <w:rFonts w:ascii="Times New Roman" w:hAnsi="Times New Roman" w:cs="Times New Roman"/>
        </w:rPr>
        <w:t>II</w:t>
      </w:r>
      <w:r w:rsidR="008C1E49" w:rsidRPr="007102CB">
        <w:rPr>
          <w:rFonts w:ascii="Times New Roman" w:hAnsi="Times New Roman" w:cs="Times New Roman"/>
        </w:rPr>
        <w:t xml:space="preserve"> to determine </w:t>
      </w:r>
      <w:r w:rsidR="00F5078F" w:rsidRPr="007102CB">
        <w:rPr>
          <w:rFonts w:ascii="Times New Roman" w:hAnsi="Times New Roman" w:cs="Times New Roman"/>
        </w:rPr>
        <w:t>(</w:t>
      </w:r>
      <w:proofErr w:type="spellStart"/>
      <w:r w:rsidR="00F5078F" w:rsidRPr="007102CB">
        <w:rPr>
          <w:rFonts w:ascii="Times New Roman" w:hAnsi="Times New Roman" w:cs="Times New Roman"/>
        </w:rPr>
        <w:t>i</w:t>
      </w:r>
      <w:proofErr w:type="spellEnd"/>
      <w:r w:rsidR="00F5078F" w:rsidRPr="007102CB">
        <w:rPr>
          <w:rFonts w:ascii="Times New Roman" w:hAnsi="Times New Roman" w:cs="Times New Roman"/>
        </w:rPr>
        <w:t xml:space="preserve">) </w:t>
      </w:r>
      <w:r w:rsidR="008C1E49" w:rsidRPr="007102CB">
        <w:rPr>
          <w:rFonts w:ascii="Times New Roman" w:hAnsi="Times New Roman" w:cs="Times New Roman"/>
        </w:rPr>
        <w:t xml:space="preserve">the extent of </w:t>
      </w:r>
      <w:r w:rsidR="009E70A0" w:rsidRPr="007102CB">
        <w:rPr>
          <w:rFonts w:ascii="Times New Roman" w:hAnsi="Times New Roman" w:cs="Times New Roman"/>
        </w:rPr>
        <w:t xml:space="preserve">thematic </w:t>
      </w:r>
      <w:r w:rsidR="00084707" w:rsidRPr="007102CB">
        <w:rPr>
          <w:rFonts w:ascii="Times New Roman" w:hAnsi="Times New Roman" w:cs="Times New Roman"/>
        </w:rPr>
        <w:t>alignment</w:t>
      </w:r>
      <w:r w:rsidR="008C1E49" w:rsidRPr="007102CB">
        <w:rPr>
          <w:rFonts w:ascii="Times New Roman" w:hAnsi="Times New Roman" w:cs="Times New Roman"/>
        </w:rPr>
        <w:t xml:space="preserve"> between the two </w:t>
      </w:r>
      <w:r w:rsidR="00F5078F" w:rsidRPr="007102CB">
        <w:rPr>
          <w:rFonts w:ascii="Times New Roman" w:hAnsi="Times New Roman" w:cs="Times New Roman"/>
        </w:rPr>
        <w:t>groups</w:t>
      </w:r>
      <w:r w:rsidR="008C1E49" w:rsidRPr="007102CB">
        <w:rPr>
          <w:rFonts w:ascii="Times New Roman" w:hAnsi="Times New Roman" w:cs="Times New Roman"/>
        </w:rPr>
        <w:t xml:space="preserve"> of recommendation</w:t>
      </w:r>
      <w:r w:rsidR="00F5078F" w:rsidRPr="007102CB">
        <w:rPr>
          <w:rFonts w:ascii="Times New Roman" w:hAnsi="Times New Roman" w:cs="Times New Roman"/>
        </w:rPr>
        <w:t>, and (ii)</w:t>
      </w:r>
      <w:r w:rsidR="009E70A0" w:rsidRPr="007102CB">
        <w:rPr>
          <w:rFonts w:ascii="Times New Roman" w:hAnsi="Times New Roman" w:cs="Times New Roman"/>
        </w:rPr>
        <w:t xml:space="preserve"> the extent of alignment on the </w:t>
      </w:r>
      <w:r w:rsidR="00583E3D" w:rsidRPr="007102CB">
        <w:rPr>
          <w:rFonts w:ascii="Times New Roman" w:hAnsi="Times New Roman" w:cs="Times New Roman"/>
        </w:rPr>
        <w:t xml:space="preserve">quality of recommendation made by states compared to NGOs. </w:t>
      </w:r>
      <w:r w:rsidR="0090164B" w:rsidRPr="007102CB">
        <w:rPr>
          <w:rFonts w:ascii="Times New Roman" w:hAnsi="Times New Roman" w:cs="Times New Roman"/>
        </w:rPr>
        <w:t xml:space="preserve">We found the </w:t>
      </w:r>
      <w:r w:rsidR="00916F51" w:rsidRPr="007102CB">
        <w:rPr>
          <w:rFonts w:ascii="Times New Roman" w:hAnsi="Times New Roman" w:cs="Times New Roman"/>
        </w:rPr>
        <w:t xml:space="preserve">existence of alignment between NGO and state recommendations </w:t>
      </w:r>
      <w:r w:rsidR="009F523D" w:rsidRPr="007102CB">
        <w:rPr>
          <w:rFonts w:ascii="Times New Roman" w:hAnsi="Times New Roman" w:cs="Times New Roman"/>
        </w:rPr>
        <w:t xml:space="preserve">but the </w:t>
      </w:r>
      <w:r w:rsidR="0090164B" w:rsidRPr="007102CB">
        <w:rPr>
          <w:rFonts w:ascii="Times New Roman" w:hAnsi="Times New Roman" w:cs="Times New Roman"/>
        </w:rPr>
        <w:t>strength</w:t>
      </w:r>
      <w:r w:rsidR="000769AD" w:rsidRPr="007102CB">
        <w:rPr>
          <w:rFonts w:ascii="Times New Roman" w:hAnsi="Times New Roman" w:cs="Times New Roman"/>
        </w:rPr>
        <w:t xml:space="preserve"> of</w:t>
      </w:r>
      <w:r w:rsidR="009F523D" w:rsidRPr="007102CB">
        <w:rPr>
          <w:rFonts w:ascii="Times New Roman" w:hAnsi="Times New Roman" w:cs="Times New Roman"/>
        </w:rPr>
        <w:t xml:space="preserve"> this</w:t>
      </w:r>
      <w:r w:rsidR="000769AD" w:rsidRPr="007102CB">
        <w:rPr>
          <w:rFonts w:ascii="Times New Roman" w:hAnsi="Times New Roman" w:cs="Times New Roman"/>
        </w:rPr>
        <w:t xml:space="preserve"> alignment</w:t>
      </w:r>
      <w:r w:rsidR="009F523D" w:rsidRPr="007102CB">
        <w:rPr>
          <w:rFonts w:ascii="Times New Roman" w:hAnsi="Times New Roman" w:cs="Times New Roman"/>
        </w:rPr>
        <w:t>,</w:t>
      </w:r>
      <w:r w:rsidR="000769AD" w:rsidRPr="007102CB">
        <w:rPr>
          <w:rFonts w:ascii="Times New Roman" w:hAnsi="Times New Roman" w:cs="Times New Roman"/>
        </w:rPr>
        <w:t xml:space="preserve"> both in terms of thematic issues and quality of recommendations</w:t>
      </w:r>
      <w:r w:rsidR="009F523D" w:rsidRPr="007102CB">
        <w:rPr>
          <w:rFonts w:ascii="Times New Roman" w:hAnsi="Times New Roman" w:cs="Times New Roman"/>
        </w:rPr>
        <w:t>,</w:t>
      </w:r>
      <w:r w:rsidR="000769AD" w:rsidRPr="007102CB">
        <w:rPr>
          <w:rFonts w:ascii="Times New Roman" w:hAnsi="Times New Roman" w:cs="Times New Roman"/>
        </w:rPr>
        <w:t xml:space="preserve"> </w:t>
      </w:r>
      <w:r w:rsidR="00BF4056" w:rsidRPr="007102CB">
        <w:rPr>
          <w:rFonts w:ascii="Times New Roman" w:hAnsi="Times New Roman" w:cs="Times New Roman"/>
        </w:rPr>
        <w:t>c</w:t>
      </w:r>
      <w:r w:rsidR="009F523D" w:rsidRPr="007102CB">
        <w:rPr>
          <w:rFonts w:ascii="Times New Roman" w:hAnsi="Times New Roman" w:cs="Times New Roman"/>
        </w:rPr>
        <w:t>ould</w:t>
      </w:r>
      <w:r w:rsidR="00BF4056" w:rsidRPr="007102CB">
        <w:rPr>
          <w:rFonts w:ascii="Times New Roman" w:hAnsi="Times New Roman" w:cs="Times New Roman"/>
        </w:rPr>
        <w:t xml:space="preserve"> be</w:t>
      </w:r>
      <w:r w:rsidR="00DC1326" w:rsidRPr="007102CB">
        <w:rPr>
          <w:rFonts w:ascii="Times New Roman" w:hAnsi="Times New Roman" w:cs="Times New Roman"/>
        </w:rPr>
        <w:t xml:space="preserve"> influenced </w:t>
      </w:r>
      <w:r w:rsidR="00617173" w:rsidRPr="007102CB">
        <w:rPr>
          <w:rFonts w:ascii="Times New Roman" w:hAnsi="Times New Roman" w:cs="Times New Roman"/>
        </w:rPr>
        <w:t xml:space="preserve">by the nature of </w:t>
      </w:r>
      <w:r w:rsidR="002A34BE" w:rsidRPr="007102CB">
        <w:rPr>
          <w:rFonts w:ascii="Times New Roman" w:hAnsi="Times New Roman" w:cs="Times New Roman"/>
        </w:rPr>
        <w:t xml:space="preserve">NGO advocacy/lobbying strategies and the </w:t>
      </w:r>
      <w:r w:rsidR="009F523D" w:rsidRPr="007102CB">
        <w:rPr>
          <w:rFonts w:ascii="Times New Roman" w:hAnsi="Times New Roman" w:cs="Times New Roman"/>
        </w:rPr>
        <w:t xml:space="preserve">existence of a </w:t>
      </w:r>
      <w:r w:rsidR="002C3AF7" w:rsidRPr="007102CB">
        <w:rPr>
          <w:rFonts w:ascii="Times New Roman" w:hAnsi="Times New Roman" w:cs="Times New Roman"/>
        </w:rPr>
        <w:t>well-organised national NGO UPR coalition</w:t>
      </w:r>
      <w:r w:rsidR="00164D4B" w:rsidRPr="007102CB">
        <w:rPr>
          <w:rFonts w:ascii="Times New Roman" w:hAnsi="Times New Roman" w:cs="Times New Roman"/>
        </w:rPr>
        <w:t>.</w:t>
      </w:r>
      <w:r w:rsidR="00BF4056" w:rsidRPr="007102CB">
        <w:rPr>
          <w:rFonts w:ascii="Times New Roman" w:hAnsi="Times New Roman" w:cs="Times New Roman"/>
        </w:rPr>
        <w:t xml:space="preserve"> </w:t>
      </w:r>
      <w:r w:rsidR="00AD3F13" w:rsidRPr="007102CB">
        <w:rPr>
          <w:rFonts w:ascii="Times New Roman" w:hAnsi="Times New Roman" w:cs="Times New Roman"/>
        </w:rPr>
        <w:t>Understanding th</w:t>
      </w:r>
      <w:r w:rsidR="00164D4B" w:rsidRPr="007102CB">
        <w:rPr>
          <w:rFonts w:ascii="Times New Roman" w:hAnsi="Times New Roman" w:cs="Times New Roman"/>
        </w:rPr>
        <w:t>e</w:t>
      </w:r>
      <w:r w:rsidR="00AD3F13" w:rsidRPr="007102CB">
        <w:rPr>
          <w:rFonts w:ascii="Times New Roman" w:hAnsi="Times New Roman" w:cs="Times New Roman"/>
        </w:rPr>
        <w:t xml:space="preserve"> areas of convergence and divergence between State and NGO recommendations in the UPR process and the underlying contributing reasons can help to ultimately enhance the impact of the UPR on domestic human rights.</w:t>
      </w:r>
      <w:r w:rsidR="003928B2" w:rsidRPr="007102CB">
        <w:rPr>
          <w:rFonts w:ascii="Times New Roman" w:hAnsi="Times New Roman" w:cs="Times New Roman"/>
        </w:rPr>
        <w:t xml:space="preserve"> </w:t>
      </w:r>
      <w:r w:rsidR="000D636B" w:rsidRPr="007102CB">
        <w:rPr>
          <w:rFonts w:ascii="Times New Roman" w:hAnsi="Times New Roman" w:cs="Times New Roman"/>
        </w:rPr>
        <w:t xml:space="preserve">Considering </w:t>
      </w:r>
      <w:r w:rsidR="003A6E6C" w:rsidRPr="007102CB">
        <w:rPr>
          <w:rFonts w:ascii="Times New Roman" w:hAnsi="Times New Roman" w:cs="Times New Roman"/>
        </w:rPr>
        <w:t xml:space="preserve">that states can only respond to peer recommendations in the UPR process, </w:t>
      </w:r>
      <w:r w:rsidR="002D61AD" w:rsidRPr="007102CB">
        <w:rPr>
          <w:rFonts w:ascii="Times New Roman" w:hAnsi="Times New Roman" w:cs="Times New Roman"/>
        </w:rPr>
        <w:t>it is important to examine th</w:t>
      </w:r>
      <w:r w:rsidR="00F9426A" w:rsidRPr="007102CB">
        <w:rPr>
          <w:rFonts w:ascii="Times New Roman" w:hAnsi="Times New Roman" w:cs="Times New Roman"/>
        </w:rPr>
        <w:t xml:space="preserve">e relationship between state and NGO recommendations to determine whether in </w:t>
      </w:r>
      <w:r w:rsidR="00ED0D58" w:rsidRPr="007102CB">
        <w:rPr>
          <w:rFonts w:ascii="Times New Roman" w:hAnsi="Times New Roman" w:cs="Times New Roman"/>
        </w:rPr>
        <w:t xml:space="preserve">fact </w:t>
      </w:r>
      <w:r w:rsidR="00EC6C91" w:rsidRPr="007102CB">
        <w:rPr>
          <w:rFonts w:ascii="Times New Roman" w:hAnsi="Times New Roman" w:cs="Times New Roman"/>
        </w:rPr>
        <w:t>state</w:t>
      </w:r>
      <w:r w:rsidR="00E12834" w:rsidRPr="007102CB">
        <w:rPr>
          <w:rFonts w:ascii="Times New Roman" w:hAnsi="Times New Roman" w:cs="Times New Roman"/>
        </w:rPr>
        <w:t xml:space="preserve"> recommendations in the UPR process align with </w:t>
      </w:r>
      <w:r w:rsidR="000D4902" w:rsidRPr="007102CB">
        <w:rPr>
          <w:rFonts w:ascii="Times New Roman" w:hAnsi="Times New Roman" w:cs="Times New Roman"/>
        </w:rPr>
        <w:t xml:space="preserve">recommendations NGOs on the ground prioritise and </w:t>
      </w:r>
      <w:r w:rsidR="00F52C7A" w:rsidRPr="007102CB">
        <w:rPr>
          <w:rFonts w:ascii="Times New Roman" w:hAnsi="Times New Roman" w:cs="Times New Roman"/>
        </w:rPr>
        <w:t xml:space="preserve">are </w:t>
      </w:r>
      <w:r w:rsidR="000D4902" w:rsidRPr="007102CB">
        <w:rPr>
          <w:rFonts w:ascii="Times New Roman" w:hAnsi="Times New Roman" w:cs="Times New Roman"/>
        </w:rPr>
        <w:t xml:space="preserve">of the same quality. </w:t>
      </w:r>
      <w:r w:rsidR="00FA7F2B" w:rsidRPr="007102CB">
        <w:rPr>
          <w:rFonts w:ascii="Times New Roman" w:hAnsi="Times New Roman" w:cs="Times New Roman"/>
        </w:rPr>
        <w:t xml:space="preserve">In response </w:t>
      </w:r>
      <w:r w:rsidR="008E40BC" w:rsidRPr="007102CB">
        <w:rPr>
          <w:rFonts w:ascii="Times New Roman" w:hAnsi="Times New Roman" w:cs="Times New Roman"/>
        </w:rPr>
        <w:t xml:space="preserve">to the question </w:t>
      </w:r>
      <w:r w:rsidR="00D50D0E" w:rsidRPr="007102CB">
        <w:rPr>
          <w:rFonts w:ascii="Times New Roman" w:hAnsi="Times New Roman" w:cs="Times New Roman"/>
        </w:rPr>
        <w:t xml:space="preserve">whether NGO recommendations matter in the UPR process, our paper </w:t>
      </w:r>
      <w:r w:rsidR="0036770E" w:rsidRPr="007102CB">
        <w:rPr>
          <w:rFonts w:ascii="Times New Roman" w:hAnsi="Times New Roman" w:cs="Times New Roman"/>
        </w:rPr>
        <w:t xml:space="preserve">answers in the affirmative. </w:t>
      </w:r>
    </w:p>
    <w:p w14:paraId="56E7B5BD" w14:textId="041B6980" w:rsidR="004338F3" w:rsidRPr="007102CB" w:rsidRDefault="004338F3" w:rsidP="00770443">
      <w:pPr>
        <w:pStyle w:val="Heading2"/>
        <w:numPr>
          <w:ilvl w:val="0"/>
          <w:numId w:val="16"/>
        </w:numPr>
        <w:spacing w:before="100" w:beforeAutospacing="1" w:after="100" w:afterAutospacing="1" w:line="276" w:lineRule="auto"/>
        <w:rPr>
          <w:rFonts w:ascii="Times New Roman" w:hAnsi="Times New Roman" w:cs="Times New Roman"/>
          <w:color w:val="auto"/>
          <w:shd w:val="clear" w:color="auto" w:fill="FFFFFF"/>
        </w:rPr>
      </w:pPr>
      <w:r w:rsidRPr="007102CB">
        <w:rPr>
          <w:rFonts w:ascii="Times New Roman" w:hAnsi="Times New Roman" w:cs="Times New Roman"/>
          <w:color w:val="auto"/>
        </w:rPr>
        <w:t>NGO Participation in the UPR Process</w:t>
      </w:r>
      <w:r w:rsidR="005D43E3">
        <w:rPr>
          <w:rFonts w:ascii="Times New Roman" w:hAnsi="Times New Roman" w:cs="Times New Roman"/>
          <w:color w:val="auto"/>
        </w:rPr>
        <w:t xml:space="preserve"> and </w:t>
      </w:r>
      <w:r w:rsidR="00A65308">
        <w:rPr>
          <w:rFonts w:ascii="Times New Roman" w:hAnsi="Times New Roman" w:cs="Times New Roman"/>
          <w:color w:val="auto"/>
        </w:rPr>
        <w:t>Strategies to Influence State Recommendations</w:t>
      </w:r>
    </w:p>
    <w:p w14:paraId="1292B33C" w14:textId="6853DB10" w:rsidR="004338F3" w:rsidRPr="007102CB" w:rsidRDefault="00E67398" w:rsidP="00770443">
      <w:pPr>
        <w:spacing w:before="100" w:beforeAutospacing="1" w:after="100" w:afterAutospacing="1" w:line="276" w:lineRule="auto"/>
        <w:jc w:val="both"/>
        <w:rPr>
          <w:rFonts w:ascii="Times New Roman" w:hAnsi="Times New Roman" w:cs="Times New Roman"/>
          <w:lang w:val="en-AU"/>
        </w:rPr>
      </w:pPr>
      <w:r w:rsidRPr="007102CB">
        <w:rPr>
          <w:rFonts w:ascii="Times New Roman" w:hAnsi="Times New Roman" w:cs="Times New Roman"/>
        </w:rPr>
        <w:t xml:space="preserve">One of the important guiding principles </w:t>
      </w:r>
      <w:r w:rsidR="00125BFF" w:rsidRPr="007102CB">
        <w:rPr>
          <w:rFonts w:ascii="Times New Roman" w:hAnsi="Times New Roman" w:cs="Times New Roman"/>
        </w:rPr>
        <w:t xml:space="preserve">in the operationalisation </w:t>
      </w:r>
      <w:r w:rsidRPr="007102CB">
        <w:rPr>
          <w:rFonts w:ascii="Times New Roman" w:hAnsi="Times New Roman" w:cs="Times New Roman"/>
        </w:rPr>
        <w:t xml:space="preserve">of the UPR mechanism is </w:t>
      </w:r>
      <w:r w:rsidR="00ED7339" w:rsidRPr="007102CB">
        <w:rPr>
          <w:rFonts w:ascii="Times New Roman" w:hAnsi="Times New Roman" w:cs="Times New Roman"/>
        </w:rPr>
        <w:t>ensuring</w:t>
      </w:r>
      <w:r w:rsidR="00C954BA" w:rsidRPr="007102CB">
        <w:rPr>
          <w:rFonts w:ascii="Times New Roman" w:hAnsi="Times New Roman" w:cs="Times New Roman"/>
        </w:rPr>
        <w:t xml:space="preserve"> </w:t>
      </w:r>
      <w:r w:rsidRPr="007102CB">
        <w:rPr>
          <w:rFonts w:ascii="Times New Roman" w:hAnsi="Times New Roman" w:cs="Times New Roman"/>
        </w:rPr>
        <w:t xml:space="preserve">the </w:t>
      </w:r>
      <w:r w:rsidR="00C954BA" w:rsidRPr="007102CB">
        <w:rPr>
          <w:rFonts w:ascii="Times New Roman" w:hAnsi="Times New Roman" w:cs="Times New Roman"/>
        </w:rPr>
        <w:t>participation of ‘</w:t>
      </w:r>
      <w:r w:rsidRPr="007102CB">
        <w:rPr>
          <w:rFonts w:ascii="Times New Roman" w:hAnsi="Times New Roman" w:cs="Times New Roman"/>
          <w:lang w:val="en-AU"/>
        </w:rPr>
        <w:t xml:space="preserve">all relevant stakeholders, including non-governmental organizations and national human </w:t>
      </w:r>
      <w:r w:rsidR="003A0B0F" w:rsidRPr="007102CB">
        <w:rPr>
          <w:rFonts w:ascii="Times New Roman" w:hAnsi="Times New Roman" w:cs="Times New Roman"/>
          <w:lang w:val="en-AU"/>
        </w:rPr>
        <w:t>rights institutions</w:t>
      </w:r>
      <w:r w:rsidR="00FD6CB8" w:rsidRPr="007102CB">
        <w:rPr>
          <w:rFonts w:ascii="Times New Roman" w:hAnsi="Times New Roman" w:cs="Times New Roman"/>
          <w:lang w:val="en-AU"/>
        </w:rPr>
        <w:t>.</w:t>
      </w:r>
      <w:r w:rsidR="004A418D">
        <w:rPr>
          <w:rStyle w:val="FootnoteReference"/>
          <w:rFonts w:ascii="Times New Roman" w:hAnsi="Times New Roman" w:cs="Times New Roman"/>
          <w:lang w:val="en-AU"/>
        </w:rPr>
        <w:footnoteReference w:id="11"/>
      </w:r>
      <w:r w:rsidR="00FD6CB8" w:rsidRPr="007102CB">
        <w:rPr>
          <w:rFonts w:ascii="Times New Roman" w:hAnsi="Times New Roman" w:cs="Times New Roman"/>
          <w:lang w:val="en-AU"/>
        </w:rPr>
        <w:t xml:space="preserve"> </w:t>
      </w:r>
      <w:r w:rsidR="00EB3EA3" w:rsidRPr="007102CB">
        <w:rPr>
          <w:rFonts w:ascii="Times New Roman" w:hAnsi="Times New Roman" w:cs="Times New Roman"/>
          <w:lang w:val="en-AU"/>
        </w:rPr>
        <w:t>The UPR was designed to be a peer monitoring mechanism and although the participation of NGOs</w:t>
      </w:r>
      <w:r w:rsidR="007E56C5" w:rsidRPr="007102CB">
        <w:rPr>
          <w:rFonts w:ascii="Times New Roman" w:hAnsi="Times New Roman" w:cs="Times New Roman"/>
          <w:lang w:val="en-AU"/>
        </w:rPr>
        <w:t xml:space="preserve"> </w:t>
      </w:r>
      <w:r w:rsidR="00EB3EA3" w:rsidRPr="007102CB">
        <w:rPr>
          <w:rFonts w:ascii="Times New Roman" w:hAnsi="Times New Roman" w:cs="Times New Roman"/>
          <w:lang w:val="en-AU"/>
        </w:rPr>
        <w:t>was</w:t>
      </w:r>
      <w:r w:rsidR="00481805" w:rsidRPr="007102CB">
        <w:rPr>
          <w:rFonts w:ascii="Times New Roman" w:hAnsi="Times New Roman" w:cs="Times New Roman"/>
          <w:lang w:val="en-AU"/>
        </w:rPr>
        <w:t xml:space="preserve"> argued to be a distraction </w:t>
      </w:r>
      <w:r w:rsidR="007E56C5" w:rsidRPr="007102CB">
        <w:rPr>
          <w:rFonts w:ascii="Times New Roman" w:hAnsi="Times New Roman" w:cs="Times New Roman"/>
          <w:lang w:val="en-AU"/>
        </w:rPr>
        <w:t xml:space="preserve">during </w:t>
      </w:r>
      <w:r w:rsidR="00727B24" w:rsidRPr="007102CB">
        <w:rPr>
          <w:rFonts w:ascii="Times New Roman" w:hAnsi="Times New Roman" w:cs="Times New Roman"/>
          <w:lang w:val="en-AU"/>
        </w:rPr>
        <w:t>establishment of the mechanism</w:t>
      </w:r>
      <w:r w:rsidR="00693F21" w:rsidRPr="007102CB">
        <w:rPr>
          <w:rFonts w:ascii="Times New Roman" w:hAnsi="Times New Roman" w:cs="Times New Roman"/>
          <w:lang w:val="en-AU"/>
        </w:rPr>
        <w:t>,</w:t>
      </w:r>
      <w:r w:rsidR="00727B24" w:rsidRPr="007102CB">
        <w:rPr>
          <w:rStyle w:val="FootnoteReference"/>
          <w:rFonts w:ascii="Times New Roman" w:hAnsi="Times New Roman" w:cs="Times New Roman"/>
          <w:lang w:val="en-AU"/>
        </w:rPr>
        <w:footnoteReference w:id="12"/>
      </w:r>
      <w:r w:rsidR="00727B24" w:rsidRPr="007102CB">
        <w:rPr>
          <w:rFonts w:ascii="Times New Roman" w:hAnsi="Times New Roman" w:cs="Times New Roman"/>
          <w:lang w:val="en-AU"/>
        </w:rPr>
        <w:t xml:space="preserve"> </w:t>
      </w:r>
      <w:r w:rsidR="00DB50F0" w:rsidRPr="007102CB">
        <w:rPr>
          <w:rFonts w:ascii="Times New Roman" w:hAnsi="Times New Roman" w:cs="Times New Roman"/>
          <w:lang w:val="en-AU"/>
        </w:rPr>
        <w:t>a compromise was achieved which allow</w:t>
      </w:r>
      <w:r w:rsidR="007866B0" w:rsidRPr="007102CB">
        <w:rPr>
          <w:rFonts w:ascii="Times New Roman" w:hAnsi="Times New Roman" w:cs="Times New Roman"/>
          <w:lang w:val="en-AU"/>
        </w:rPr>
        <w:t>ed for limited participation of NGOs</w:t>
      </w:r>
      <w:r w:rsidR="00A25FEA" w:rsidRPr="007102CB">
        <w:rPr>
          <w:rFonts w:ascii="Times New Roman" w:hAnsi="Times New Roman" w:cs="Times New Roman"/>
          <w:lang w:val="en-AU"/>
        </w:rPr>
        <w:t>.</w:t>
      </w:r>
      <w:r w:rsidR="002E5889">
        <w:rPr>
          <w:rStyle w:val="FootnoteReference"/>
          <w:rFonts w:ascii="Times New Roman" w:hAnsi="Times New Roman" w:cs="Times New Roman"/>
          <w:lang w:val="en-AU"/>
        </w:rPr>
        <w:footnoteReference w:id="13"/>
      </w:r>
      <w:r w:rsidR="003A0B0F" w:rsidRPr="007102CB">
        <w:rPr>
          <w:rFonts w:ascii="Times New Roman" w:hAnsi="Times New Roman" w:cs="Times New Roman"/>
          <w:lang w:val="en-AU"/>
        </w:rPr>
        <w:t xml:space="preserve"> NGOs can </w:t>
      </w:r>
      <w:r w:rsidR="00CA5FEE" w:rsidRPr="007102CB">
        <w:rPr>
          <w:rFonts w:ascii="Times New Roman" w:hAnsi="Times New Roman" w:cs="Times New Roman"/>
          <w:lang w:val="en-AU"/>
        </w:rPr>
        <w:t xml:space="preserve">attend the plenary session of the </w:t>
      </w:r>
      <w:r w:rsidR="00666D18" w:rsidRPr="007102CB">
        <w:rPr>
          <w:rFonts w:ascii="Times New Roman" w:hAnsi="Times New Roman" w:cs="Times New Roman"/>
          <w:lang w:val="en-AU"/>
        </w:rPr>
        <w:t xml:space="preserve">UN </w:t>
      </w:r>
      <w:r w:rsidR="00043200" w:rsidRPr="007102CB">
        <w:rPr>
          <w:rFonts w:ascii="Times New Roman" w:hAnsi="Times New Roman" w:cs="Times New Roman"/>
          <w:lang w:val="en-AU"/>
        </w:rPr>
        <w:t>H</w:t>
      </w:r>
      <w:r w:rsidR="00666D18" w:rsidRPr="007102CB">
        <w:rPr>
          <w:rFonts w:ascii="Times New Roman" w:hAnsi="Times New Roman" w:cs="Times New Roman"/>
          <w:lang w:val="en-AU"/>
        </w:rPr>
        <w:t>uman</w:t>
      </w:r>
      <w:r w:rsidR="00CA5FEE" w:rsidRPr="007102CB">
        <w:rPr>
          <w:rFonts w:ascii="Times New Roman" w:hAnsi="Times New Roman" w:cs="Times New Roman"/>
          <w:lang w:val="en-AU"/>
        </w:rPr>
        <w:t xml:space="preserve"> </w:t>
      </w:r>
      <w:r w:rsidR="00666D18" w:rsidRPr="007102CB">
        <w:rPr>
          <w:rFonts w:ascii="Times New Roman" w:hAnsi="Times New Roman" w:cs="Times New Roman"/>
          <w:lang w:val="en-AU"/>
        </w:rPr>
        <w:t xml:space="preserve">Rights Council </w:t>
      </w:r>
      <w:r w:rsidR="00CA5FEE" w:rsidRPr="007102CB">
        <w:rPr>
          <w:rFonts w:ascii="Times New Roman" w:hAnsi="Times New Roman" w:cs="Times New Roman"/>
          <w:lang w:val="en-AU"/>
        </w:rPr>
        <w:t xml:space="preserve">and </w:t>
      </w:r>
      <w:r w:rsidR="002B4A79" w:rsidRPr="007102CB">
        <w:rPr>
          <w:rFonts w:ascii="Times New Roman" w:hAnsi="Times New Roman" w:cs="Times New Roman"/>
          <w:lang w:val="en-AU"/>
        </w:rPr>
        <w:t>‘make general comments’ before the a</w:t>
      </w:r>
      <w:r w:rsidR="00945435" w:rsidRPr="007102CB">
        <w:rPr>
          <w:rFonts w:ascii="Times New Roman" w:hAnsi="Times New Roman" w:cs="Times New Roman"/>
          <w:lang w:val="en-AU"/>
        </w:rPr>
        <w:t>doption of the outcome report of a State’s review by the HRC.</w:t>
      </w:r>
      <w:r w:rsidR="00830B64">
        <w:rPr>
          <w:rStyle w:val="FootnoteReference"/>
          <w:rFonts w:ascii="Times New Roman" w:hAnsi="Times New Roman" w:cs="Times New Roman"/>
          <w:lang w:val="en-AU"/>
        </w:rPr>
        <w:footnoteReference w:id="14"/>
      </w:r>
      <w:r w:rsidR="00945435" w:rsidRPr="007102CB">
        <w:rPr>
          <w:rFonts w:ascii="Times New Roman" w:hAnsi="Times New Roman" w:cs="Times New Roman"/>
          <w:lang w:val="en-AU"/>
        </w:rPr>
        <w:t xml:space="preserve"> </w:t>
      </w:r>
      <w:r w:rsidR="000B1725" w:rsidRPr="007102CB">
        <w:rPr>
          <w:rFonts w:ascii="Times New Roman" w:hAnsi="Times New Roman" w:cs="Times New Roman"/>
          <w:lang w:val="en-AU"/>
        </w:rPr>
        <w:t xml:space="preserve">NGOs can attend the review session in the </w:t>
      </w:r>
      <w:r w:rsidR="0019714D" w:rsidRPr="007102CB">
        <w:rPr>
          <w:rFonts w:ascii="Times New Roman" w:hAnsi="Times New Roman" w:cs="Times New Roman"/>
          <w:lang w:val="en-AU"/>
        </w:rPr>
        <w:t xml:space="preserve">UN </w:t>
      </w:r>
      <w:r w:rsidR="000B1725" w:rsidRPr="007102CB">
        <w:rPr>
          <w:rFonts w:ascii="Times New Roman" w:hAnsi="Times New Roman" w:cs="Times New Roman"/>
          <w:lang w:val="en-AU"/>
        </w:rPr>
        <w:t>H</w:t>
      </w:r>
      <w:r w:rsidR="00666D18" w:rsidRPr="007102CB">
        <w:rPr>
          <w:rFonts w:ascii="Times New Roman" w:hAnsi="Times New Roman" w:cs="Times New Roman"/>
          <w:lang w:val="en-AU"/>
        </w:rPr>
        <w:t>uman Rights Council</w:t>
      </w:r>
      <w:r w:rsidR="000B1725" w:rsidRPr="007102CB">
        <w:rPr>
          <w:rFonts w:ascii="Times New Roman" w:hAnsi="Times New Roman" w:cs="Times New Roman"/>
          <w:lang w:val="en-AU"/>
        </w:rPr>
        <w:t xml:space="preserve"> Working Group but </w:t>
      </w:r>
      <w:r w:rsidR="00FC3F19" w:rsidRPr="007102CB">
        <w:rPr>
          <w:rFonts w:ascii="Times New Roman" w:hAnsi="Times New Roman" w:cs="Times New Roman"/>
          <w:lang w:val="en-AU"/>
        </w:rPr>
        <w:t>cannot make statements or pose questions to the State under review. Ab</w:t>
      </w:r>
      <w:r w:rsidR="000E3CC4">
        <w:rPr>
          <w:rFonts w:ascii="Times New Roman" w:hAnsi="Times New Roman" w:cs="Times New Roman"/>
          <w:lang w:val="en-AU"/>
        </w:rPr>
        <w:t>ebe</w:t>
      </w:r>
      <w:r w:rsidR="00FC3F19" w:rsidRPr="007102CB">
        <w:rPr>
          <w:rFonts w:ascii="Times New Roman" w:hAnsi="Times New Roman" w:cs="Times New Roman"/>
          <w:lang w:val="en-AU"/>
        </w:rPr>
        <w:t xml:space="preserve"> </w:t>
      </w:r>
      <w:r w:rsidR="002F4A7B" w:rsidRPr="007102CB">
        <w:rPr>
          <w:rFonts w:ascii="Times New Roman" w:hAnsi="Times New Roman" w:cs="Times New Roman"/>
          <w:lang w:val="en-AU"/>
        </w:rPr>
        <w:t>argues</w:t>
      </w:r>
      <w:r w:rsidR="005B3AB4" w:rsidRPr="007102CB">
        <w:rPr>
          <w:rFonts w:ascii="Times New Roman" w:hAnsi="Times New Roman" w:cs="Times New Roman"/>
          <w:lang w:val="en-AU"/>
        </w:rPr>
        <w:t xml:space="preserve"> the lack of direct NGO participation in the review process</w:t>
      </w:r>
      <w:r w:rsidR="002F4A7B" w:rsidRPr="007102CB">
        <w:rPr>
          <w:rFonts w:ascii="Times New Roman" w:hAnsi="Times New Roman" w:cs="Times New Roman"/>
          <w:lang w:val="en-AU"/>
        </w:rPr>
        <w:t xml:space="preserve"> weakens the process.</w:t>
      </w:r>
      <w:r w:rsidR="000E3CC4">
        <w:rPr>
          <w:rStyle w:val="FootnoteReference"/>
          <w:rFonts w:ascii="Times New Roman" w:hAnsi="Times New Roman" w:cs="Times New Roman"/>
          <w:lang w:val="en-AU"/>
        </w:rPr>
        <w:footnoteReference w:id="15"/>
      </w:r>
      <w:r w:rsidR="002F4A7B" w:rsidRPr="007102CB">
        <w:rPr>
          <w:rFonts w:ascii="Times New Roman" w:hAnsi="Times New Roman" w:cs="Times New Roman"/>
          <w:lang w:val="en-AU"/>
        </w:rPr>
        <w:t xml:space="preserve"> </w:t>
      </w:r>
      <w:r w:rsidR="00B0790B" w:rsidRPr="007102CB">
        <w:rPr>
          <w:rFonts w:ascii="Times New Roman" w:hAnsi="Times New Roman" w:cs="Times New Roman"/>
          <w:lang w:val="en-AU"/>
        </w:rPr>
        <w:t xml:space="preserve">The ability for NGOs to influence the outcome of the review session is therefore limited </w:t>
      </w:r>
      <w:r w:rsidR="00986120" w:rsidRPr="007102CB">
        <w:rPr>
          <w:rFonts w:ascii="Times New Roman" w:hAnsi="Times New Roman" w:cs="Times New Roman"/>
          <w:lang w:val="en-AU"/>
        </w:rPr>
        <w:t xml:space="preserve">but there are more </w:t>
      </w:r>
      <w:r w:rsidR="00B822DA" w:rsidRPr="007102CB">
        <w:rPr>
          <w:rFonts w:ascii="Times New Roman" w:hAnsi="Times New Roman" w:cs="Times New Roman"/>
          <w:lang w:val="en-AU"/>
        </w:rPr>
        <w:t xml:space="preserve">meaningful </w:t>
      </w:r>
      <w:r w:rsidR="00354486" w:rsidRPr="007102CB">
        <w:rPr>
          <w:rFonts w:ascii="Times New Roman" w:hAnsi="Times New Roman" w:cs="Times New Roman"/>
          <w:lang w:val="en-AU"/>
        </w:rPr>
        <w:t>opportunities</w:t>
      </w:r>
      <w:r w:rsidR="00B822DA" w:rsidRPr="007102CB">
        <w:rPr>
          <w:rFonts w:ascii="Times New Roman" w:hAnsi="Times New Roman" w:cs="Times New Roman"/>
          <w:lang w:val="en-AU"/>
        </w:rPr>
        <w:t xml:space="preserve"> </w:t>
      </w:r>
      <w:r w:rsidR="006D4E88" w:rsidRPr="007102CB">
        <w:rPr>
          <w:rFonts w:ascii="Times New Roman" w:hAnsi="Times New Roman" w:cs="Times New Roman"/>
          <w:lang w:val="en-AU"/>
        </w:rPr>
        <w:t xml:space="preserve">for NGOs to effectively engage with the UPR process and influence state recommendations to their peers. </w:t>
      </w:r>
      <w:r w:rsidR="00994AB0" w:rsidRPr="007102CB">
        <w:rPr>
          <w:rFonts w:ascii="Times New Roman" w:hAnsi="Times New Roman" w:cs="Times New Roman"/>
          <w:lang w:val="en-AU"/>
        </w:rPr>
        <w:t xml:space="preserve">We </w:t>
      </w:r>
      <w:r w:rsidR="00467BC4" w:rsidRPr="007102CB">
        <w:rPr>
          <w:rFonts w:ascii="Times New Roman" w:hAnsi="Times New Roman" w:cs="Times New Roman"/>
          <w:lang w:val="en-AU"/>
        </w:rPr>
        <w:t xml:space="preserve">collate and </w:t>
      </w:r>
      <w:r w:rsidR="00994AB0" w:rsidRPr="007102CB">
        <w:rPr>
          <w:rFonts w:ascii="Times New Roman" w:hAnsi="Times New Roman" w:cs="Times New Roman"/>
          <w:lang w:val="en-AU"/>
        </w:rPr>
        <w:t xml:space="preserve">examine </w:t>
      </w:r>
      <w:r w:rsidR="00467BC4" w:rsidRPr="007102CB">
        <w:rPr>
          <w:rFonts w:ascii="Times New Roman" w:hAnsi="Times New Roman" w:cs="Times New Roman"/>
          <w:lang w:val="en-AU"/>
        </w:rPr>
        <w:t>four</w:t>
      </w:r>
      <w:r w:rsidR="00592FAB" w:rsidRPr="007102CB">
        <w:rPr>
          <w:rFonts w:ascii="Times New Roman" w:hAnsi="Times New Roman" w:cs="Times New Roman"/>
          <w:lang w:val="en-AU"/>
        </w:rPr>
        <w:t xml:space="preserve"> key opportunities which have been discussed in existing literature</w:t>
      </w:r>
      <w:r w:rsidR="00B7687E" w:rsidRPr="007102CB">
        <w:rPr>
          <w:rFonts w:ascii="Times New Roman" w:hAnsi="Times New Roman" w:cs="Times New Roman"/>
          <w:lang w:val="en-AU"/>
        </w:rPr>
        <w:t xml:space="preserve">. These are </w:t>
      </w:r>
      <w:r w:rsidR="00467BC4" w:rsidRPr="007102CB">
        <w:rPr>
          <w:rFonts w:ascii="Times New Roman" w:hAnsi="Times New Roman" w:cs="Times New Roman"/>
          <w:lang w:val="en-AU"/>
        </w:rPr>
        <w:t>(</w:t>
      </w:r>
      <w:proofErr w:type="spellStart"/>
      <w:r w:rsidR="00467BC4" w:rsidRPr="007102CB">
        <w:rPr>
          <w:rFonts w:ascii="Times New Roman" w:hAnsi="Times New Roman" w:cs="Times New Roman"/>
          <w:lang w:val="en-AU"/>
        </w:rPr>
        <w:t>i</w:t>
      </w:r>
      <w:proofErr w:type="spellEnd"/>
      <w:r w:rsidR="00467BC4" w:rsidRPr="007102CB">
        <w:rPr>
          <w:rFonts w:ascii="Times New Roman" w:hAnsi="Times New Roman" w:cs="Times New Roman"/>
          <w:lang w:val="en-AU"/>
        </w:rPr>
        <w:t>)</w:t>
      </w:r>
      <w:r w:rsidR="009B3B91" w:rsidRPr="007102CB">
        <w:rPr>
          <w:rFonts w:ascii="Times New Roman" w:hAnsi="Times New Roman" w:cs="Times New Roman"/>
          <w:lang w:val="en-AU"/>
        </w:rPr>
        <w:t xml:space="preserve"> </w:t>
      </w:r>
      <w:r w:rsidR="00F00B14" w:rsidRPr="007102CB">
        <w:rPr>
          <w:rFonts w:ascii="Times New Roman" w:hAnsi="Times New Roman" w:cs="Times New Roman"/>
          <w:lang w:val="en-AU"/>
        </w:rPr>
        <w:t xml:space="preserve">national consultation strategies and </w:t>
      </w:r>
      <w:r w:rsidR="00D86B76" w:rsidRPr="007102CB">
        <w:rPr>
          <w:rFonts w:ascii="Times New Roman" w:hAnsi="Times New Roman" w:cs="Times New Roman"/>
          <w:lang w:val="en-AU"/>
        </w:rPr>
        <w:t xml:space="preserve">the formation of national NGO UPR coalitions, (ii) </w:t>
      </w:r>
      <w:r w:rsidR="00B718E9" w:rsidRPr="007102CB">
        <w:rPr>
          <w:rFonts w:ascii="Times New Roman" w:hAnsi="Times New Roman" w:cs="Times New Roman"/>
          <w:lang w:val="en-AU"/>
        </w:rPr>
        <w:t xml:space="preserve">Geneva pre-review side events, </w:t>
      </w:r>
      <w:r w:rsidR="00D501AC" w:rsidRPr="007102CB">
        <w:rPr>
          <w:rFonts w:ascii="Times New Roman" w:hAnsi="Times New Roman" w:cs="Times New Roman"/>
          <w:lang w:val="en-AU"/>
        </w:rPr>
        <w:t xml:space="preserve">(iii) </w:t>
      </w:r>
      <w:r w:rsidR="00194D0E" w:rsidRPr="007102CB">
        <w:rPr>
          <w:rFonts w:ascii="Times New Roman" w:hAnsi="Times New Roman" w:cs="Times New Roman"/>
          <w:lang w:val="en-AU"/>
        </w:rPr>
        <w:t xml:space="preserve">media and advocacy strategies, </w:t>
      </w:r>
      <w:r w:rsidR="00A97369" w:rsidRPr="007102CB">
        <w:rPr>
          <w:rFonts w:ascii="Times New Roman" w:hAnsi="Times New Roman" w:cs="Times New Roman"/>
          <w:lang w:val="en-AU"/>
        </w:rPr>
        <w:lastRenderedPageBreak/>
        <w:t xml:space="preserve">and </w:t>
      </w:r>
      <w:r w:rsidR="00D501AC" w:rsidRPr="007102CB">
        <w:rPr>
          <w:rFonts w:ascii="Times New Roman" w:hAnsi="Times New Roman" w:cs="Times New Roman"/>
          <w:lang w:val="en-AU"/>
        </w:rPr>
        <w:t>(iv) lobbying</w:t>
      </w:r>
      <w:r w:rsidR="00A97369" w:rsidRPr="007102CB">
        <w:rPr>
          <w:rFonts w:ascii="Times New Roman" w:hAnsi="Times New Roman" w:cs="Times New Roman"/>
          <w:lang w:val="en-AU"/>
        </w:rPr>
        <w:t>.</w:t>
      </w:r>
      <w:r w:rsidR="00863C85" w:rsidRPr="007102CB">
        <w:rPr>
          <w:rFonts w:ascii="Times New Roman" w:hAnsi="Times New Roman" w:cs="Times New Roman"/>
          <w:lang w:val="en-AU"/>
        </w:rPr>
        <w:t xml:space="preserve"> </w:t>
      </w:r>
      <w:r w:rsidR="001439D9">
        <w:rPr>
          <w:rFonts w:ascii="Times New Roman" w:hAnsi="Times New Roman" w:cs="Times New Roman"/>
          <w:shd w:val="clear" w:color="auto" w:fill="FFFFFF"/>
        </w:rPr>
        <w:t>As we find in section I</w:t>
      </w:r>
      <w:r w:rsidR="00817F87">
        <w:rPr>
          <w:rFonts w:ascii="Times New Roman" w:hAnsi="Times New Roman" w:cs="Times New Roman"/>
          <w:shd w:val="clear" w:color="auto" w:fill="FFFFFF"/>
        </w:rPr>
        <w:t>II</w:t>
      </w:r>
      <w:r w:rsidR="001439D9">
        <w:rPr>
          <w:rFonts w:ascii="Times New Roman" w:hAnsi="Times New Roman" w:cs="Times New Roman"/>
          <w:shd w:val="clear" w:color="auto" w:fill="FFFFFF"/>
        </w:rPr>
        <w:t xml:space="preserve"> of this paper, the action</w:t>
      </w:r>
      <w:r w:rsidR="0013524E">
        <w:rPr>
          <w:rFonts w:ascii="Times New Roman" w:hAnsi="Times New Roman" w:cs="Times New Roman"/>
          <w:shd w:val="clear" w:color="auto" w:fill="FFFFFF"/>
        </w:rPr>
        <w:t>/inaction</w:t>
      </w:r>
      <w:r w:rsidR="001439D9">
        <w:rPr>
          <w:rFonts w:ascii="Times New Roman" w:hAnsi="Times New Roman" w:cs="Times New Roman"/>
          <w:shd w:val="clear" w:color="auto" w:fill="FFFFFF"/>
        </w:rPr>
        <w:t xml:space="preserve"> undertaken by NGOs </w:t>
      </w:r>
      <w:r w:rsidR="0013524E">
        <w:rPr>
          <w:rFonts w:ascii="Times New Roman" w:hAnsi="Times New Roman" w:cs="Times New Roman"/>
          <w:shd w:val="clear" w:color="auto" w:fill="FFFFFF"/>
        </w:rPr>
        <w:t xml:space="preserve">across these four areas </w:t>
      </w:r>
      <w:r w:rsidR="002B0741">
        <w:rPr>
          <w:rFonts w:ascii="Times New Roman" w:hAnsi="Times New Roman" w:cs="Times New Roman"/>
          <w:shd w:val="clear" w:color="auto" w:fill="FFFFFF"/>
        </w:rPr>
        <w:t xml:space="preserve">impacted on the extent of the alignment between </w:t>
      </w:r>
      <w:r w:rsidR="00EA7ACD">
        <w:rPr>
          <w:rFonts w:ascii="Times New Roman" w:hAnsi="Times New Roman" w:cs="Times New Roman"/>
          <w:shd w:val="clear" w:color="auto" w:fill="FFFFFF"/>
        </w:rPr>
        <w:t>the UPR recommendations made by States when compared to those made by NGOs</w:t>
      </w:r>
      <w:r w:rsidR="00C30DD3">
        <w:rPr>
          <w:rFonts w:ascii="Times New Roman" w:hAnsi="Times New Roman" w:cs="Times New Roman"/>
          <w:shd w:val="clear" w:color="auto" w:fill="FFFFFF"/>
        </w:rPr>
        <w:t xml:space="preserve"> in the two case studies. </w:t>
      </w:r>
    </w:p>
    <w:p w14:paraId="43149524" w14:textId="15ED907F" w:rsidR="00ED3BC9" w:rsidRPr="007102CB" w:rsidRDefault="00185899" w:rsidP="00770443">
      <w:pPr>
        <w:pStyle w:val="Heading3"/>
        <w:numPr>
          <w:ilvl w:val="0"/>
          <w:numId w:val="17"/>
        </w:numPr>
        <w:spacing w:before="100" w:beforeAutospacing="1" w:after="100" w:afterAutospacing="1" w:line="276" w:lineRule="auto"/>
        <w:rPr>
          <w:rFonts w:ascii="Times New Roman" w:hAnsi="Times New Roman" w:cs="Times New Roman"/>
          <w:color w:val="auto"/>
          <w:lang w:val="en-AU"/>
        </w:rPr>
      </w:pPr>
      <w:r w:rsidRPr="007102CB">
        <w:rPr>
          <w:rFonts w:ascii="Times New Roman" w:hAnsi="Times New Roman" w:cs="Times New Roman"/>
          <w:color w:val="auto"/>
          <w:lang w:val="en-AU"/>
        </w:rPr>
        <w:t>National Consultation Strategies</w:t>
      </w:r>
      <w:r w:rsidR="00545D99" w:rsidRPr="007102CB">
        <w:rPr>
          <w:rFonts w:ascii="Times New Roman" w:hAnsi="Times New Roman" w:cs="Times New Roman"/>
          <w:color w:val="auto"/>
          <w:lang w:val="en-AU"/>
        </w:rPr>
        <w:t xml:space="preserve"> and National</w:t>
      </w:r>
      <w:r w:rsidR="005048F8" w:rsidRPr="007102CB">
        <w:rPr>
          <w:rFonts w:ascii="Times New Roman" w:hAnsi="Times New Roman" w:cs="Times New Roman"/>
          <w:color w:val="auto"/>
          <w:lang w:val="en-AU"/>
        </w:rPr>
        <w:t xml:space="preserve"> NGO</w:t>
      </w:r>
      <w:r w:rsidR="00545D99" w:rsidRPr="007102CB">
        <w:rPr>
          <w:rFonts w:ascii="Times New Roman" w:hAnsi="Times New Roman" w:cs="Times New Roman"/>
          <w:color w:val="auto"/>
          <w:lang w:val="en-AU"/>
        </w:rPr>
        <w:t xml:space="preserve"> </w:t>
      </w:r>
      <w:r w:rsidR="00DA4750" w:rsidRPr="007102CB">
        <w:rPr>
          <w:rFonts w:ascii="Times New Roman" w:hAnsi="Times New Roman" w:cs="Times New Roman"/>
          <w:color w:val="auto"/>
          <w:lang w:val="en-AU"/>
        </w:rPr>
        <w:t>UPR Coalitions</w:t>
      </w:r>
    </w:p>
    <w:p w14:paraId="070023BC" w14:textId="71F9001D" w:rsidR="00ED3BC9" w:rsidRPr="007102CB" w:rsidRDefault="00ED6AD5" w:rsidP="00770443">
      <w:pPr>
        <w:spacing w:before="100" w:beforeAutospacing="1" w:after="100" w:afterAutospacing="1" w:line="276" w:lineRule="auto"/>
        <w:jc w:val="both"/>
        <w:rPr>
          <w:rFonts w:ascii="Times New Roman" w:hAnsi="Times New Roman" w:cs="Times New Roman"/>
          <w:lang w:val="en-AU"/>
        </w:rPr>
      </w:pPr>
      <w:r w:rsidRPr="007102CB">
        <w:rPr>
          <w:rFonts w:ascii="Times New Roman" w:hAnsi="Times New Roman" w:cs="Times New Roman"/>
          <w:lang w:val="en-AU"/>
        </w:rPr>
        <w:t xml:space="preserve">Resolution A/HRC/RES/5/1 of the </w:t>
      </w:r>
      <w:r w:rsidR="0019714D" w:rsidRPr="007102CB">
        <w:rPr>
          <w:rFonts w:ascii="Times New Roman" w:hAnsi="Times New Roman" w:cs="Times New Roman"/>
          <w:lang w:val="en-AU"/>
        </w:rPr>
        <w:t xml:space="preserve">UN </w:t>
      </w:r>
      <w:r w:rsidRPr="007102CB">
        <w:rPr>
          <w:rFonts w:ascii="Times New Roman" w:hAnsi="Times New Roman" w:cs="Times New Roman"/>
          <w:lang w:val="en-AU"/>
        </w:rPr>
        <w:t>Human Rights Council</w:t>
      </w:r>
      <w:r w:rsidR="00EA1674" w:rsidRPr="007102CB">
        <w:rPr>
          <w:rFonts w:ascii="Times New Roman" w:hAnsi="Times New Roman" w:cs="Times New Roman"/>
          <w:lang w:val="en-AU"/>
        </w:rPr>
        <w:t xml:space="preserve"> ‘encourages’ states to </w:t>
      </w:r>
      <w:r w:rsidR="0032214C" w:rsidRPr="007102CB">
        <w:rPr>
          <w:rFonts w:ascii="Times New Roman" w:hAnsi="Times New Roman" w:cs="Times New Roman"/>
          <w:lang w:val="en-AU"/>
        </w:rPr>
        <w:t>undertake a ‘</w:t>
      </w:r>
      <w:r w:rsidR="0032214C" w:rsidRPr="007102CB">
        <w:rPr>
          <w:rFonts w:ascii="Times New Roman" w:hAnsi="Times New Roman" w:cs="Times New Roman"/>
        </w:rPr>
        <w:t xml:space="preserve">broad consultation process at the national level’ </w:t>
      </w:r>
      <w:r w:rsidR="0032214C" w:rsidRPr="007102CB">
        <w:rPr>
          <w:rFonts w:ascii="Times New Roman" w:hAnsi="Times New Roman" w:cs="Times New Roman"/>
          <w:lang w:val="en-AU"/>
        </w:rPr>
        <w:t>i</w:t>
      </w:r>
      <w:r w:rsidR="003F5539" w:rsidRPr="007102CB">
        <w:rPr>
          <w:rFonts w:ascii="Times New Roman" w:hAnsi="Times New Roman" w:cs="Times New Roman"/>
          <w:lang w:val="en-AU"/>
        </w:rPr>
        <w:t>n preparation of its National Report</w:t>
      </w:r>
      <w:r w:rsidR="0032214C" w:rsidRPr="007102CB">
        <w:rPr>
          <w:rFonts w:ascii="Times New Roman" w:hAnsi="Times New Roman" w:cs="Times New Roman"/>
          <w:lang w:val="en-AU"/>
        </w:rPr>
        <w:t xml:space="preserve"> to be submitted to the UPR </w:t>
      </w:r>
      <w:r w:rsidR="00D30848" w:rsidRPr="007102CB">
        <w:rPr>
          <w:rFonts w:ascii="Times New Roman" w:hAnsi="Times New Roman" w:cs="Times New Roman"/>
          <w:lang w:val="en-AU"/>
        </w:rPr>
        <w:t>W</w:t>
      </w:r>
      <w:r w:rsidR="0032214C" w:rsidRPr="007102CB">
        <w:rPr>
          <w:rFonts w:ascii="Times New Roman" w:hAnsi="Times New Roman" w:cs="Times New Roman"/>
          <w:lang w:val="en-AU"/>
        </w:rPr>
        <w:t>orking Group in Geneva</w:t>
      </w:r>
      <w:r w:rsidR="00D30848" w:rsidRPr="007102CB">
        <w:rPr>
          <w:rFonts w:ascii="Times New Roman" w:hAnsi="Times New Roman" w:cs="Times New Roman"/>
          <w:lang w:val="en-AU"/>
        </w:rPr>
        <w:t xml:space="preserve"> in advance of its review session.</w:t>
      </w:r>
      <w:r w:rsidR="0057148B">
        <w:rPr>
          <w:rStyle w:val="FootnoteReference"/>
          <w:rFonts w:ascii="Times New Roman" w:hAnsi="Times New Roman" w:cs="Times New Roman"/>
          <w:lang w:val="en-AU"/>
        </w:rPr>
        <w:footnoteReference w:id="16"/>
      </w:r>
      <w:r w:rsidR="00D30848" w:rsidRPr="007102CB">
        <w:rPr>
          <w:rFonts w:ascii="Times New Roman" w:hAnsi="Times New Roman" w:cs="Times New Roman"/>
          <w:lang w:val="en-AU"/>
        </w:rPr>
        <w:t xml:space="preserve"> </w:t>
      </w:r>
      <w:r w:rsidR="000C6434" w:rsidRPr="007102CB">
        <w:rPr>
          <w:rFonts w:ascii="Times New Roman" w:hAnsi="Times New Roman" w:cs="Times New Roman"/>
          <w:lang w:val="en-AU"/>
        </w:rPr>
        <w:t xml:space="preserve">An analysis by UPR Info of the National Reports submitted </w:t>
      </w:r>
      <w:r w:rsidR="00644517" w:rsidRPr="007102CB">
        <w:rPr>
          <w:rFonts w:ascii="Times New Roman" w:hAnsi="Times New Roman" w:cs="Times New Roman"/>
          <w:lang w:val="en-AU"/>
        </w:rPr>
        <w:t xml:space="preserve">by States reviewed </w:t>
      </w:r>
      <w:r w:rsidR="000C6434" w:rsidRPr="007102CB">
        <w:rPr>
          <w:rFonts w:ascii="Times New Roman" w:hAnsi="Times New Roman" w:cs="Times New Roman"/>
          <w:lang w:val="en-AU"/>
        </w:rPr>
        <w:t>during the 13</w:t>
      </w:r>
      <w:r w:rsidR="000C6434" w:rsidRPr="007102CB">
        <w:rPr>
          <w:rFonts w:ascii="Times New Roman" w:hAnsi="Times New Roman" w:cs="Times New Roman"/>
          <w:vertAlign w:val="superscript"/>
          <w:lang w:val="en-AU"/>
        </w:rPr>
        <w:t>th</w:t>
      </w:r>
      <w:r w:rsidR="000C6434" w:rsidRPr="007102CB">
        <w:rPr>
          <w:rFonts w:ascii="Times New Roman" w:hAnsi="Times New Roman" w:cs="Times New Roman"/>
          <w:lang w:val="en-AU"/>
        </w:rPr>
        <w:t xml:space="preserve"> to </w:t>
      </w:r>
      <w:r w:rsidR="00644517" w:rsidRPr="007102CB">
        <w:rPr>
          <w:rFonts w:ascii="Times New Roman" w:hAnsi="Times New Roman" w:cs="Times New Roman"/>
          <w:lang w:val="en-AU"/>
        </w:rPr>
        <w:t>18</w:t>
      </w:r>
      <w:r w:rsidR="00644517" w:rsidRPr="007102CB">
        <w:rPr>
          <w:rFonts w:ascii="Times New Roman" w:hAnsi="Times New Roman" w:cs="Times New Roman"/>
          <w:vertAlign w:val="superscript"/>
          <w:lang w:val="en-AU"/>
        </w:rPr>
        <w:t>th</w:t>
      </w:r>
      <w:r w:rsidR="00644517" w:rsidRPr="007102CB">
        <w:rPr>
          <w:rFonts w:ascii="Times New Roman" w:hAnsi="Times New Roman" w:cs="Times New Roman"/>
          <w:lang w:val="en-AU"/>
        </w:rPr>
        <w:t xml:space="preserve"> Sessions of the </w:t>
      </w:r>
      <w:r w:rsidR="00781461" w:rsidRPr="007102CB">
        <w:rPr>
          <w:rFonts w:ascii="Times New Roman" w:hAnsi="Times New Roman" w:cs="Times New Roman"/>
          <w:lang w:val="en-AU"/>
        </w:rPr>
        <w:t>HRC revealed that 8</w:t>
      </w:r>
      <w:r w:rsidR="00517B06" w:rsidRPr="007102CB">
        <w:rPr>
          <w:rFonts w:ascii="Times New Roman" w:hAnsi="Times New Roman" w:cs="Times New Roman"/>
          <w:lang w:val="en-AU"/>
        </w:rPr>
        <w:t>3</w:t>
      </w:r>
      <w:r w:rsidR="00D2712B" w:rsidRPr="007102CB">
        <w:rPr>
          <w:rFonts w:ascii="Times New Roman" w:hAnsi="Times New Roman" w:cs="Times New Roman"/>
          <w:lang w:val="en-AU"/>
        </w:rPr>
        <w:t xml:space="preserve">% of the states reported to have included </w:t>
      </w:r>
      <w:r w:rsidR="00517B06" w:rsidRPr="007102CB">
        <w:rPr>
          <w:rFonts w:ascii="Times New Roman" w:hAnsi="Times New Roman" w:cs="Times New Roman"/>
          <w:lang w:val="en-AU"/>
        </w:rPr>
        <w:t xml:space="preserve">NGOs </w:t>
      </w:r>
      <w:r w:rsidR="009141AE" w:rsidRPr="007102CB">
        <w:rPr>
          <w:rFonts w:ascii="Times New Roman" w:hAnsi="Times New Roman" w:cs="Times New Roman"/>
          <w:lang w:val="en-AU"/>
        </w:rPr>
        <w:t>in the process of</w:t>
      </w:r>
      <w:r w:rsidR="00956F74" w:rsidRPr="007102CB">
        <w:rPr>
          <w:rFonts w:ascii="Times New Roman" w:hAnsi="Times New Roman" w:cs="Times New Roman"/>
          <w:lang w:val="en-AU"/>
        </w:rPr>
        <w:t xml:space="preserve"> drafting the National Report</w:t>
      </w:r>
      <w:r w:rsidR="009141AE" w:rsidRPr="007102CB">
        <w:rPr>
          <w:rFonts w:ascii="Times New Roman" w:hAnsi="Times New Roman" w:cs="Times New Roman"/>
          <w:lang w:val="en-AU"/>
        </w:rPr>
        <w:t xml:space="preserve"> through </w:t>
      </w:r>
      <w:r w:rsidR="003C3466" w:rsidRPr="007102CB">
        <w:rPr>
          <w:rFonts w:ascii="Times New Roman" w:hAnsi="Times New Roman" w:cs="Times New Roman"/>
          <w:lang w:val="en-AU"/>
        </w:rPr>
        <w:t>national consultations.</w:t>
      </w:r>
      <w:r w:rsidR="00C957B0">
        <w:rPr>
          <w:rStyle w:val="FootnoteReference"/>
          <w:rFonts w:ascii="Times New Roman" w:hAnsi="Times New Roman" w:cs="Times New Roman"/>
          <w:lang w:val="en-AU"/>
        </w:rPr>
        <w:footnoteReference w:id="17"/>
      </w:r>
      <w:r w:rsidR="00191F34" w:rsidRPr="007102CB">
        <w:rPr>
          <w:rFonts w:ascii="Times New Roman" w:hAnsi="Times New Roman" w:cs="Times New Roman"/>
          <w:lang w:val="en-AU"/>
        </w:rPr>
        <w:t xml:space="preserve"> </w:t>
      </w:r>
      <w:r w:rsidR="004464AC" w:rsidRPr="007102CB">
        <w:rPr>
          <w:rFonts w:ascii="Times New Roman" w:hAnsi="Times New Roman" w:cs="Times New Roman"/>
          <w:lang w:val="en-AU"/>
        </w:rPr>
        <w:t>National consultation processes</w:t>
      </w:r>
      <w:r w:rsidR="00CA763A" w:rsidRPr="007102CB">
        <w:rPr>
          <w:rFonts w:ascii="Times New Roman" w:hAnsi="Times New Roman" w:cs="Times New Roman"/>
          <w:lang w:val="en-AU"/>
        </w:rPr>
        <w:t xml:space="preserve"> represent an important entry point </w:t>
      </w:r>
      <w:r w:rsidR="004464AC" w:rsidRPr="007102CB">
        <w:rPr>
          <w:rFonts w:ascii="Times New Roman" w:hAnsi="Times New Roman" w:cs="Times New Roman"/>
          <w:lang w:val="en-AU"/>
        </w:rPr>
        <w:t xml:space="preserve">for NGOs to actively engage with the UPR process. </w:t>
      </w:r>
      <w:r w:rsidR="00EB2B0D" w:rsidRPr="007102CB">
        <w:rPr>
          <w:rFonts w:ascii="Times New Roman" w:hAnsi="Times New Roman" w:cs="Times New Roman"/>
          <w:lang w:val="en-AU"/>
        </w:rPr>
        <w:t xml:space="preserve"> </w:t>
      </w:r>
      <w:r w:rsidR="009B73A8" w:rsidRPr="007102CB">
        <w:rPr>
          <w:rFonts w:ascii="Times New Roman" w:hAnsi="Times New Roman" w:cs="Times New Roman"/>
          <w:lang w:val="en-AU"/>
        </w:rPr>
        <w:t>While many states have sought to align themselves with the practice of</w:t>
      </w:r>
      <w:r w:rsidR="009B50D1" w:rsidRPr="007102CB">
        <w:rPr>
          <w:rFonts w:ascii="Times New Roman" w:hAnsi="Times New Roman" w:cs="Times New Roman"/>
          <w:lang w:val="en-AU"/>
        </w:rPr>
        <w:t xml:space="preserve"> consulting with NGOs in the preparation of their </w:t>
      </w:r>
      <w:r w:rsidR="00207753" w:rsidRPr="007102CB">
        <w:rPr>
          <w:rFonts w:ascii="Times New Roman" w:hAnsi="Times New Roman" w:cs="Times New Roman"/>
          <w:lang w:val="en-AU"/>
        </w:rPr>
        <w:t xml:space="preserve">National Report, </w:t>
      </w:r>
      <w:r w:rsidR="006E015B" w:rsidRPr="007102CB">
        <w:rPr>
          <w:rFonts w:ascii="Times New Roman" w:hAnsi="Times New Roman" w:cs="Times New Roman"/>
          <w:lang w:val="en-AU"/>
        </w:rPr>
        <w:t>the</w:t>
      </w:r>
      <w:r w:rsidR="0014439A" w:rsidRPr="007102CB">
        <w:rPr>
          <w:rFonts w:ascii="Times New Roman" w:hAnsi="Times New Roman" w:cs="Times New Roman"/>
          <w:lang w:val="en-AU"/>
        </w:rPr>
        <w:t>re are important questions in relation to the quality of the</w:t>
      </w:r>
      <w:r w:rsidR="00122C69" w:rsidRPr="007102CB">
        <w:rPr>
          <w:rFonts w:ascii="Times New Roman" w:hAnsi="Times New Roman" w:cs="Times New Roman"/>
          <w:lang w:val="en-AU"/>
        </w:rPr>
        <w:t xml:space="preserve"> consultation with NGOs including (</w:t>
      </w:r>
      <w:proofErr w:type="spellStart"/>
      <w:r w:rsidR="00122C69" w:rsidRPr="007102CB">
        <w:rPr>
          <w:rFonts w:ascii="Times New Roman" w:hAnsi="Times New Roman" w:cs="Times New Roman"/>
          <w:lang w:val="en-AU"/>
        </w:rPr>
        <w:t>i</w:t>
      </w:r>
      <w:proofErr w:type="spellEnd"/>
      <w:r w:rsidR="00122C69" w:rsidRPr="007102CB">
        <w:rPr>
          <w:rFonts w:ascii="Times New Roman" w:hAnsi="Times New Roman" w:cs="Times New Roman"/>
          <w:lang w:val="en-AU"/>
        </w:rPr>
        <w:t>)</w:t>
      </w:r>
      <w:r w:rsidR="000D3A2B" w:rsidRPr="007102CB">
        <w:rPr>
          <w:rFonts w:ascii="Times New Roman" w:hAnsi="Times New Roman" w:cs="Times New Roman"/>
          <w:lang w:val="en-AU"/>
        </w:rPr>
        <w:t xml:space="preserve"> </w:t>
      </w:r>
      <w:r w:rsidR="00207753" w:rsidRPr="007102CB">
        <w:rPr>
          <w:rFonts w:ascii="Times New Roman" w:hAnsi="Times New Roman" w:cs="Times New Roman"/>
          <w:lang w:val="en-AU"/>
        </w:rPr>
        <w:t>the genuineness of the consultation</w:t>
      </w:r>
      <w:r w:rsidR="001053C4" w:rsidRPr="007102CB">
        <w:rPr>
          <w:rFonts w:ascii="Times New Roman" w:hAnsi="Times New Roman" w:cs="Times New Roman"/>
          <w:lang w:val="en-AU"/>
        </w:rPr>
        <w:t xml:space="preserve">, </w:t>
      </w:r>
      <w:r w:rsidR="00122C69" w:rsidRPr="007102CB">
        <w:rPr>
          <w:rFonts w:ascii="Times New Roman" w:hAnsi="Times New Roman" w:cs="Times New Roman"/>
          <w:lang w:val="en-AU"/>
        </w:rPr>
        <w:t xml:space="preserve">(ii) </w:t>
      </w:r>
      <w:r w:rsidR="001053C4" w:rsidRPr="007102CB">
        <w:rPr>
          <w:rFonts w:ascii="Times New Roman" w:hAnsi="Times New Roman" w:cs="Times New Roman"/>
          <w:lang w:val="en-AU"/>
        </w:rPr>
        <w:t xml:space="preserve">the extent to which the consultation is ‘national’, </w:t>
      </w:r>
      <w:r w:rsidR="00122C69" w:rsidRPr="007102CB">
        <w:rPr>
          <w:rFonts w:ascii="Times New Roman" w:hAnsi="Times New Roman" w:cs="Times New Roman"/>
          <w:lang w:val="en-AU"/>
        </w:rPr>
        <w:t>(iii) the extent to which NGO voice is reflected in the final Natio</w:t>
      </w:r>
      <w:r w:rsidR="004F6923" w:rsidRPr="007102CB">
        <w:rPr>
          <w:rFonts w:ascii="Times New Roman" w:hAnsi="Times New Roman" w:cs="Times New Roman"/>
          <w:lang w:val="en-AU"/>
        </w:rPr>
        <w:t>nal Report.</w:t>
      </w:r>
      <w:r w:rsidR="00EB784F">
        <w:rPr>
          <w:rStyle w:val="FootnoteReference"/>
          <w:rFonts w:ascii="Times New Roman" w:hAnsi="Times New Roman" w:cs="Times New Roman"/>
          <w:lang w:val="en-AU"/>
        </w:rPr>
        <w:footnoteReference w:id="18"/>
      </w:r>
      <w:r w:rsidR="00CA763A" w:rsidRPr="007102CB">
        <w:rPr>
          <w:rFonts w:ascii="Times New Roman" w:hAnsi="Times New Roman" w:cs="Times New Roman"/>
          <w:lang w:val="en-AU"/>
        </w:rPr>
        <w:t xml:space="preserve"> </w:t>
      </w:r>
    </w:p>
    <w:p w14:paraId="6473023C" w14:textId="35EB0219" w:rsidR="009A7D5E" w:rsidRPr="007102CB" w:rsidRDefault="00C703F0" w:rsidP="00770443">
      <w:pPr>
        <w:spacing w:before="100" w:beforeAutospacing="1" w:after="100" w:afterAutospacing="1" w:line="276" w:lineRule="auto"/>
        <w:jc w:val="both"/>
        <w:rPr>
          <w:rFonts w:ascii="Times New Roman" w:hAnsi="Times New Roman" w:cs="Times New Roman"/>
          <w:lang w:val="en-AU"/>
        </w:rPr>
      </w:pPr>
      <w:r w:rsidRPr="007102CB">
        <w:rPr>
          <w:rFonts w:ascii="Times New Roman" w:hAnsi="Times New Roman" w:cs="Times New Roman"/>
          <w:lang w:val="en-AU"/>
        </w:rPr>
        <w:t>NGOs need to develop a national consultation strategy</w:t>
      </w:r>
      <w:r w:rsidR="00D52345" w:rsidRPr="007102CB">
        <w:rPr>
          <w:rFonts w:ascii="Times New Roman" w:hAnsi="Times New Roman" w:cs="Times New Roman"/>
          <w:lang w:val="en-AU"/>
        </w:rPr>
        <w:t xml:space="preserve"> to be able to effectively engage with the </w:t>
      </w:r>
      <w:r w:rsidR="00B0025E" w:rsidRPr="007102CB">
        <w:rPr>
          <w:rFonts w:ascii="Times New Roman" w:hAnsi="Times New Roman" w:cs="Times New Roman"/>
          <w:lang w:val="en-AU"/>
        </w:rPr>
        <w:t>national consultation process.</w:t>
      </w:r>
      <w:r w:rsidR="00E82CA9" w:rsidRPr="007102CB">
        <w:rPr>
          <w:rFonts w:ascii="Times New Roman" w:hAnsi="Times New Roman" w:cs="Times New Roman"/>
          <w:lang w:val="en-AU"/>
        </w:rPr>
        <w:t xml:space="preserve"> This strategy </w:t>
      </w:r>
      <w:r w:rsidR="00574DA6" w:rsidRPr="007102CB">
        <w:rPr>
          <w:rFonts w:ascii="Times New Roman" w:hAnsi="Times New Roman" w:cs="Times New Roman"/>
          <w:lang w:val="en-AU"/>
        </w:rPr>
        <w:t xml:space="preserve">can </w:t>
      </w:r>
      <w:r w:rsidR="00B54F7F" w:rsidRPr="007102CB">
        <w:rPr>
          <w:rFonts w:ascii="Times New Roman" w:hAnsi="Times New Roman" w:cs="Times New Roman"/>
          <w:lang w:val="en-AU"/>
        </w:rPr>
        <w:t>help influence the state to undertake a national consultation in the preparation of the National Report</w:t>
      </w:r>
      <w:r w:rsidR="0051791D" w:rsidRPr="007102CB">
        <w:rPr>
          <w:rFonts w:ascii="Times New Roman" w:hAnsi="Times New Roman" w:cs="Times New Roman"/>
          <w:lang w:val="en-AU"/>
        </w:rPr>
        <w:t xml:space="preserve">, and ensure that the State adopts an open and transparent national consultation process. </w:t>
      </w:r>
      <w:r w:rsidR="007E5F1D" w:rsidRPr="007102CB">
        <w:rPr>
          <w:rFonts w:ascii="Times New Roman" w:hAnsi="Times New Roman" w:cs="Times New Roman"/>
          <w:lang w:val="en-AU"/>
        </w:rPr>
        <w:t xml:space="preserve">NGOs can use the national </w:t>
      </w:r>
      <w:r w:rsidR="00B7145D" w:rsidRPr="007102CB">
        <w:rPr>
          <w:rFonts w:ascii="Times New Roman" w:hAnsi="Times New Roman" w:cs="Times New Roman"/>
          <w:lang w:val="en-AU"/>
        </w:rPr>
        <w:t xml:space="preserve">consultation process to influence and contribute to the National </w:t>
      </w:r>
      <w:r w:rsidR="00AA7C8D" w:rsidRPr="007102CB">
        <w:rPr>
          <w:rFonts w:ascii="Times New Roman" w:hAnsi="Times New Roman" w:cs="Times New Roman"/>
          <w:lang w:val="en-AU"/>
        </w:rPr>
        <w:t>Report so that it (</w:t>
      </w:r>
      <w:proofErr w:type="spellStart"/>
      <w:r w:rsidR="00AA7C8D" w:rsidRPr="007102CB">
        <w:rPr>
          <w:rFonts w:ascii="Times New Roman" w:hAnsi="Times New Roman" w:cs="Times New Roman"/>
          <w:lang w:val="en-AU"/>
        </w:rPr>
        <w:t>i</w:t>
      </w:r>
      <w:proofErr w:type="spellEnd"/>
      <w:r w:rsidR="00AA7C8D" w:rsidRPr="007102CB">
        <w:rPr>
          <w:rFonts w:ascii="Times New Roman" w:hAnsi="Times New Roman" w:cs="Times New Roman"/>
          <w:lang w:val="en-AU"/>
        </w:rPr>
        <w:t xml:space="preserve">) </w:t>
      </w:r>
      <w:r w:rsidR="007521D8" w:rsidRPr="007102CB">
        <w:rPr>
          <w:rFonts w:ascii="Times New Roman" w:hAnsi="Times New Roman" w:cs="Times New Roman"/>
          <w:lang w:val="en-AU"/>
        </w:rPr>
        <w:t xml:space="preserve">represents </w:t>
      </w:r>
      <w:r w:rsidR="00AA7C8D" w:rsidRPr="007102CB">
        <w:rPr>
          <w:rFonts w:ascii="Times New Roman" w:hAnsi="Times New Roman" w:cs="Times New Roman"/>
          <w:lang w:val="en-AU"/>
        </w:rPr>
        <w:t>a</w:t>
      </w:r>
      <w:r w:rsidR="006B3012" w:rsidRPr="007102CB">
        <w:rPr>
          <w:rFonts w:ascii="Times New Roman" w:hAnsi="Times New Roman" w:cs="Times New Roman"/>
          <w:lang w:val="en-AU"/>
        </w:rPr>
        <w:t>n accurate</w:t>
      </w:r>
      <w:r w:rsidR="00AA7C8D" w:rsidRPr="007102CB">
        <w:rPr>
          <w:rFonts w:ascii="Times New Roman" w:hAnsi="Times New Roman" w:cs="Times New Roman"/>
          <w:lang w:val="en-AU"/>
        </w:rPr>
        <w:t xml:space="preserve"> </w:t>
      </w:r>
      <w:r w:rsidR="00E05D2D" w:rsidRPr="007102CB">
        <w:rPr>
          <w:rFonts w:ascii="Times New Roman" w:hAnsi="Times New Roman" w:cs="Times New Roman"/>
          <w:lang w:val="en-AU"/>
        </w:rPr>
        <w:t xml:space="preserve">and </w:t>
      </w:r>
      <w:r w:rsidR="00AA7C8D" w:rsidRPr="007102CB">
        <w:rPr>
          <w:rFonts w:ascii="Times New Roman" w:hAnsi="Times New Roman" w:cs="Times New Roman"/>
          <w:lang w:val="en-AU"/>
        </w:rPr>
        <w:t xml:space="preserve">comprehensive assessment of the </w:t>
      </w:r>
      <w:r w:rsidR="00BB6614" w:rsidRPr="007102CB">
        <w:rPr>
          <w:rFonts w:ascii="Times New Roman" w:hAnsi="Times New Roman" w:cs="Times New Roman"/>
          <w:lang w:val="en-AU"/>
        </w:rPr>
        <w:t xml:space="preserve">domestic </w:t>
      </w:r>
      <w:r w:rsidR="00AA7C8D" w:rsidRPr="007102CB">
        <w:rPr>
          <w:rFonts w:ascii="Times New Roman" w:hAnsi="Times New Roman" w:cs="Times New Roman"/>
          <w:lang w:val="en-AU"/>
        </w:rPr>
        <w:t>human rights situati</w:t>
      </w:r>
      <w:r w:rsidR="00BB6614" w:rsidRPr="007102CB">
        <w:rPr>
          <w:rFonts w:ascii="Times New Roman" w:hAnsi="Times New Roman" w:cs="Times New Roman"/>
          <w:lang w:val="en-AU"/>
        </w:rPr>
        <w:t xml:space="preserve">on, (ii) </w:t>
      </w:r>
      <w:r w:rsidR="007521D8" w:rsidRPr="007102CB">
        <w:rPr>
          <w:rFonts w:ascii="Times New Roman" w:hAnsi="Times New Roman" w:cs="Times New Roman"/>
          <w:lang w:val="en-AU"/>
        </w:rPr>
        <w:t xml:space="preserve">reflects the genuine efforts made by the state to </w:t>
      </w:r>
      <w:r w:rsidR="001B39B5" w:rsidRPr="007102CB">
        <w:rPr>
          <w:rFonts w:ascii="Times New Roman" w:hAnsi="Times New Roman" w:cs="Times New Roman"/>
          <w:lang w:val="en-AU"/>
        </w:rPr>
        <w:t xml:space="preserve">improve the domestic human rights situation, (iii) </w:t>
      </w:r>
      <w:r w:rsidR="00A65EBA" w:rsidRPr="007102CB">
        <w:rPr>
          <w:rFonts w:ascii="Times New Roman" w:hAnsi="Times New Roman" w:cs="Times New Roman"/>
          <w:lang w:val="en-AU"/>
        </w:rPr>
        <w:t xml:space="preserve">addresses the </w:t>
      </w:r>
      <w:r w:rsidR="00765304" w:rsidRPr="007102CB">
        <w:rPr>
          <w:rFonts w:ascii="Times New Roman" w:hAnsi="Times New Roman" w:cs="Times New Roman"/>
          <w:lang w:val="en-AU"/>
        </w:rPr>
        <w:t xml:space="preserve">relevance and sufficiency </w:t>
      </w:r>
      <w:r w:rsidR="00735B77" w:rsidRPr="007102CB">
        <w:rPr>
          <w:rFonts w:ascii="Times New Roman" w:hAnsi="Times New Roman" w:cs="Times New Roman"/>
          <w:lang w:val="en-AU"/>
        </w:rPr>
        <w:t xml:space="preserve">of any proposed actions to improve the </w:t>
      </w:r>
      <w:r w:rsidR="001F5119" w:rsidRPr="007102CB">
        <w:rPr>
          <w:rFonts w:ascii="Times New Roman" w:hAnsi="Times New Roman" w:cs="Times New Roman"/>
          <w:lang w:val="en-AU"/>
        </w:rPr>
        <w:t>human rights situation</w:t>
      </w:r>
      <w:r w:rsidR="00D24671" w:rsidRPr="007102CB">
        <w:rPr>
          <w:rFonts w:ascii="Times New Roman" w:hAnsi="Times New Roman" w:cs="Times New Roman"/>
          <w:lang w:val="en-AU"/>
        </w:rPr>
        <w:t xml:space="preserve">. </w:t>
      </w:r>
      <w:r w:rsidR="005275AA" w:rsidRPr="007102CB">
        <w:rPr>
          <w:rFonts w:ascii="Times New Roman" w:hAnsi="Times New Roman" w:cs="Times New Roman"/>
          <w:lang w:val="en-AU"/>
        </w:rPr>
        <w:t xml:space="preserve">This can help inform NGO reports to the UPR process </w:t>
      </w:r>
      <w:r w:rsidR="0007215A" w:rsidRPr="007102CB">
        <w:rPr>
          <w:rFonts w:ascii="Times New Roman" w:hAnsi="Times New Roman" w:cs="Times New Roman"/>
          <w:lang w:val="en-AU"/>
        </w:rPr>
        <w:t xml:space="preserve">wherein gaps in the National </w:t>
      </w:r>
      <w:r w:rsidR="000F0CF7" w:rsidRPr="007102CB">
        <w:rPr>
          <w:rFonts w:ascii="Times New Roman" w:hAnsi="Times New Roman" w:cs="Times New Roman"/>
          <w:lang w:val="en-AU"/>
        </w:rPr>
        <w:t>R</w:t>
      </w:r>
      <w:r w:rsidR="0007215A" w:rsidRPr="007102CB">
        <w:rPr>
          <w:rFonts w:ascii="Times New Roman" w:hAnsi="Times New Roman" w:cs="Times New Roman"/>
          <w:lang w:val="en-AU"/>
        </w:rPr>
        <w:t xml:space="preserve">eport </w:t>
      </w:r>
      <w:r w:rsidR="00B53178" w:rsidRPr="007102CB">
        <w:rPr>
          <w:rFonts w:ascii="Times New Roman" w:hAnsi="Times New Roman" w:cs="Times New Roman"/>
          <w:lang w:val="en-AU"/>
        </w:rPr>
        <w:t xml:space="preserve">and insufficiency of proposed government actions </w:t>
      </w:r>
      <w:r w:rsidR="0007215A" w:rsidRPr="007102CB">
        <w:rPr>
          <w:rFonts w:ascii="Times New Roman" w:hAnsi="Times New Roman" w:cs="Times New Roman"/>
          <w:lang w:val="en-AU"/>
        </w:rPr>
        <w:t>can be highlighted</w:t>
      </w:r>
      <w:r w:rsidR="0076442E" w:rsidRPr="007102CB">
        <w:rPr>
          <w:rFonts w:ascii="Times New Roman" w:hAnsi="Times New Roman" w:cs="Times New Roman"/>
          <w:lang w:val="en-AU"/>
        </w:rPr>
        <w:t>.</w:t>
      </w:r>
      <w:r w:rsidR="00B80043" w:rsidRPr="007102CB">
        <w:rPr>
          <w:rFonts w:ascii="Times New Roman" w:hAnsi="Times New Roman" w:cs="Times New Roman"/>
          <w:lang w:val="en-AU"/>
        </w:rPr>
        <w:t xml:space="preserve"> </w:t>
      </w:r>
    </w:p>
    <w:p w14:paraId="7F0BDC5A" w14:textId="7F2A7740" w:rsidR="008658F6" w:rsidRPr="007102CB" w:rsidRDefault="009A7D5E" w:rsidP="00770443">
      <w:pPr>
        <w:spacing w:before="100" w:beforeAutospacing="1" w:after="100" w:afterAutospacing="1" w:line="276" w:lineRule="auto"/>
        <w:jc w:val="both"/>
        <w:rPr>
          <w:rFonts w:ascii="Times New Roman" w:hAnsi="Times New Roman" w:cs="Times New Roman"/>
          <w:lang w:val="en-AU"/>
        </w:rPr>
      </w:pPr>
      <w:r w:rsidRPr="007102CB">
        <w:rPr>
          <w:rFonts w:ascii="Times New Roman" w:hAnsi="Times New Roman" w:cs="Times New Roman"/>
          <w:lang w:val="en-AU"/>
        </w:rPr>
        <w:t xml:space="preserve">Several studies have </w:t>
      </w:r>
      <w:r w:rsidR="00E9153F" w:rsidRPr="007102CB">
        <w:rPr>
          <w:rFonts w:ascii="Times New Roman" w:hAnsi="Times New Roman" w:cs="Times New Roman"/>
          <w:lang w:val="en-AU"/>
        </w:rPr>
        <w:t>discussed the importance of establishing a National UPR coalition</w:t>
      </w:r>
      <w:r w:rsidR="00C47AA9" w:rsidRPr="007102CB">
        <w:rPr>
          <w:rFonts w:ascii="Times New Roman" w:hAnsi="Times New Roman" w:cs="Times New Roman"/>
          <w:lang w:val="en-AU"/>
        </w:rPr>
        <w:t xml:space="preserve"> and how</w:t>
      </w:r>
      <w:r w:rsidR="00E9153F" w:rsidRPr="007102CB">
        <w:rPr>
          <w:rFonts w:ascii="Times New Roman" w:hAnsi="Times New Roman" w:cs="Times New Roman"/>
          <w:lang w:val="en-AU"/>
        </w:rPr>
        <w:t xml:space="preserve"> </w:t>
      </w:r>
      <w:r w:rsidR="00FF79D5" w:rsidRPr="007102CB">
        <w:rPr>
          <w:rFonts w:ascii="Times New Roman" w:hAnsi="Times New Roman" w:cs="Times New Roman"/>
          <w:lang w:val="en-AU"/>
        </w:rPr>
        <w:t>such a coalition</w:t>
      </w:r>
      <w:r w:rsidR="00C67A9B" w:rsidRPr="007102CB">
        <w:rPr>
          <w:rFonts w:ascii="Times New Roman" w:hAnsi="Times New Roman" w:cs="Times New Roman"/>
          <w:lang w:val="en-AU"/>
        </w:rPr>
        <w:t xml:space="preserve"> can more strategically engage with the UPR process </w:t>
      </w:r>
      <w:r w:rsidR="00F13078" w:rsidRPr="007102CB">
        <w:rPr>
          <w:rFonts w:ascii="Times New Roman" w:hAnsi="Times New Roman" w:cs="Times New Roman"/>
          <w:lang w:val="en-AU"/>
        </w:rPr>
        <w:t>to bring about</w:t>
      </w:r>
      <w:r w:rsidR="00C67A9B" w:rsidRPr="007102CB">
        <w:rPr>
          <w:rFonts w:ascii="Times New Roman" w:hAnsi="Times New Roman" w:cs="Times New Roman"/>
          <w:lang w:val="en-AU"/>
        </w:rPr>
        <w:t xml:space="preserve"> positive outcomes.</w:t>
      </w:r>
      <w:r w:rsidR="00EB459A">
        <w:rPr>
          <w:rStyle w:val="FootnoteReference"/>
          <w:rFonts w:ascii="Times New Roman" w:hAnsi="Times New Roman" w:cs="Times New Roman"/>
          <w:lang w:val="en-AU"/>
        </w:rPr>
        <w:footnoteReference w:id="19"/>
      </w:r>
      <w:r w:rsidR="00C67A9B" w:rsidRPr="007102CB">
        <w:rPr>
          <w:rFonts w:ascii="Times New Roman" w:hAnsi="Times New Roman" w:cs="Times New Roman"/>
          <w:lang w:val="en-AU"/>
        </w:rPr>
        <w:t xml:space="preserve"> </w:t>
      </w:r>
      <w:r w:rsidR="00FF27E4" w:rsidRPr="007102CB">
        <w:rPr>
          <w:rFonts w:ascii="Times New Roman" w:hAnsi="Times New Roman" w:cs="Times New Roman"/>
        </w:rPr>
        <w:t xml:space="preserve">For a National UPR NGO coalition to be effective, it is essential that the coalition maintains stability and encompasses a wide range of representation across thematic areas. </w:t>
      </w:r>
      <w:r w:rsidR="00FF1BA2" w:rsidRPr="007102CB">
        <w:rPr>
          <w:rFonts w:ascii="Times New Roman" w:hAnsi="Times New Roman" w:cs="Times New Roman"/>
        </w:rPr>
        <w:t>If the</w:t>
      </w:r>
      <w:r w:rsidR="00FF27E4" w:rsidRPr="007102CB">
        <w:rPr>
          <w:rFonts w:ascii="Times New Roman" w:hAnsi="Times New Roman" w:cs="Times New Roman"/>
        </w:rPr>
        <w:t xml:space="preserve"> coalition's membership </w:t>
      </w:r>
      <w:r w:rsidR="00FF1BA2" w:rsidRPr="007102CB">
        <w:rPr>
          <w:rFonts w:ascii="Times New Roman" w:hAnsi="Times New Roman" w:cs="Times New Roman"/>
        </w:rPr>
        <w:t>does not</w:t>
      </w:r>
      <w:r w:rsidR="00FF27E4" w:rsidRPr="007102CB">
        <w:rPr>
          <w:rFonts w:ascii="Times New Roman" w:hAnsi="Times New Roman" w:cs="Times New Roman"/>
        </w:rPr>
        <w:t xml:space="preserve"> adequately reflect all pertinent </w:t>
      </w:r>
      <w:r w:rsidR="00AE3691" w:rsidRPr="007102CB">
        <w:rPr>
          <w:rFonts w:ascii="Times New Roman" w:hAnsi="Times New Roman" w:cs="Times New Roman"/>
        </w:rPr>
        <w:t>thematic issues</w:t>
      </w:r>
      <w:r w:rsidR="00FF27E4" w:rsidRPr="007102CB">
        <w:rPr>
          <w:rFonts w:ascii="Times New Roman" w:hAnsi="Times New Roman" w:cs="Times New Roman"/>
        </w:rPr>
        <w:t>, there is a risk that specific issues may be neglected. Similarly, if the membership lacks stability, it may not receive the appropriate representation at various times.</w:t>
      </w:r>
      <w:r w:rsidR="00CD5A5F" w:rsidRPr="007102CB">
        <w:rPr>
          <w:rFonts w:ascii="Times New Roman" w:hAnsi="Times New Roman" w:cs="Times New Roman"/>
        </w:rPr>
        <w:t xml:space="preserve"> A strong National UPR coalition of NGOs can better organise fund</w:t>
      </w:r>
      <w:r w:rsidR="00B30754" w:rsidRPr="007102CB">
        <w:rPr>
          <w:rFonts w:ascii="Times New Roman" w:hAnsi="Times New Roman" w:cs="Times New Roman"/>
        </w:rPr>
        <w:t xml:space="preserve">raising initiative, </w:t>
      </w:r>
      <w:r w:rsidR="00514644" w:rsidRPr="007102CB">
        <w:rPr>
          <w:rFonts w:ascii="Times New Roman" w:hAnsi="Times New Roman" w:cs="Times New Roman"/>
        </w:rPr>
        <w:t xml:space="preserve">better engage with the lobbying and advocacy </w:t>
      </w:r>
      <w:r w:rsidR="009E0B47" w:rsidRPr="007102CB">
        <w:rPr>
          <w:rFonts w:ascii="Times New Roman" w:hAnsi="Times New Roman" w:cs="Times New Roman"/>
        </w:rPr>
        <w:t xml:space="preserve">strategies and </w:t>
      </w:r>
      <w:r w:rsidR="00B30754" w:rsidRPr="007102CB">
        <w:rPr>
          <w:rFonts w:ascii="Times New Roman" w:hAnsi="Times New Roman" w:cs="Times New Roman"/>
        </w:rPr>
        <w:t>more effectively mobilise and deploy resources</w:t>
      </w:r>
      <w:r w:rsidR="009E0B47" w:rsidRPr="007102CB">
        <w:rPr>
          <w:rFonts w:ascii="Times New Roman" w:hAnsi="Times New Roman" w:cs="Times New Roman"/>
        </w:rPr>
        <w:t>.</w:t>
      </w:r>
      <w:r w:rsidR="00F11D54" w:rsidRPr="007102CB">
        <w:rPr>
          <w:rFonts w:ascii="Times New Roman" w:hAnsi="Times New Roman" w:cs="Times New Roman"/>
        </w:rPr>
        <w:t xml:space="preserve"> Kenya’s Stakeholders Coalition on the UPR (UPR Kenya)</w:t>
      </w:r>
      <w:r w:rsidR="00826E4B" w:rsidRPr="007102CB">
        <w:rPr>
          <w:rFonts w:ascii="Times New Roman" w:hAnsi="Times New Roman" w:cs="Times New Roman"/>
        </w:rPr>
        <w:t xml:space="preserve"> </w:t>
      </w:r>
      <w:r w:rsidR="00B160C3" w:rsidRPr="007102CB">
        <w:rPr>
          <w:rFonts w:ascii="Times New Roman" w:hAnsi="Times New Roman" w:cs="Times New Roman"/>
        </w:rPr>
        <w:t>is</w:t>
      </w:r>
      <w:r w:rsidR="005F7738" w:rsidRPr="007102CB">
        <w:rPr>
          <w:rFonts w:ascii="Times New Roman" w:hAnsi="Times New Roman" w:cs="Times New Roman"/>
        </w:rPr>
        <w:t xml:space="preserve"> generally cited as</w:t>
      </w:r>
      <w:r w:rsidR="00B160C3" w:rsidRPr="007102CB">
        <w:rPr>
          <w:rFonts w:ascii="Times New Roman" w:hAnsi="Times New Roman" w:cs="Times New Roman"/>
        </w:rPr>
        <w:t xml:space="preserve"> an example of strong Na</w:t>
      </w:r>
      <w:r w:rsidR="00430811" w:rsidRPr="007102CB">
        <w:rPr>
          <w:rFonts w:ascii="Times New Roman" w:hAnsi="Times New Roman" w:cs="Times New Roman"/>
        </w:rPr>
        <w:t>tional UPR NGO coalition comprising of a broad representation of over 200 NGOs</w:t>
      </w:r>
      <w:r w:rsidR="00676031" w:rsidRPr="007102CB">
        <w:rPr>
          <w:rFonts w:ascii="Times New Roman" w:hAnsi="Times New Roman" w:cs="Times New Roman"/>
        </w:rPr>
        <w:t xml:space="preserve"> </w:t>
      </w:r>
      <w:r w:rsidR="00AE431C" w:rsidRPr="007102CB">
        <w:rPr>
          <w:rFonts w:ascii="Times New Roman" w:hAnsi="Times New Roman" w:cs="Times New Roman"/>
        </w:rPr>
        <w:t>and receiving technical support from the Kenya National Commission on Human Rights and the UN OHCHR.</w:t>
      </w:r>
      <w:r w:rsidR="005D5640">
        <w:rPr>
          <w:rStyle w:val="FootnoteReference"/>
          <w:rFonts w:ascii="Times New Roman" w:hAnsi="Times New Roman" w:cs="Times New Roman"/>
        </w:rPr>
        <w:footnoteReference w:id="20"/>
      </w:r>
      <w:r w:rsidR="00021B83" w:rsidRPr="007102CB">
        <w:rPr>
          <w:rFonts w:ascii="Times New Roman" w:hAnsi="Times New Roman" w:cs="Times New Roman"/>
        </w:rPr>
        <w:t xml:space="preserve"> </w:t>
      </w:r>
      <w:r w:rsidR="00633A53" w:rsidRPr="007102CB">
        <w:rPr>
          <w:rFonts w:ascii="Times New Roman" w:hAnsi="Times New Roman" w:cs="Times New Roman"/>
        </w:rPr>
        <w:t xml:space="preserve">There were no similar formal National UPR coalition in Zambia although </w:t>
      </w:r>
      <w:r w:rsidR="008E0E81" w:rsidRPr="007102CB">
        <w:rPr>
          <w:rFonts w:ascii="Times New Roman" w:hAnsi="Times New Roman" w:cs="Times New Roman"/>
        </w:rPr>
        <w:t xml:space="preserve">across the </w:t>
      </w:r>
      <w:r w:rsidR="00335171" w:rsidRPr="007102CB">
        <w:rPr>
          <w:rFonts w:ascii="Times New Roman" w:hAnsi="Times New Roman" w:cs="Times New Roman"/>
        </w:rPr>
        <w:t>four</w:t>
      </w:r>
      <w:r w:rsidR="008E0E81" w:rsidRPr="007102CB">
        <w:rPr>
          <w:rFonts w:ascii="Times New Roman" w:hAnsi="Times New Roman" w:cs="Times New Roman"/>
        </w:rPr>
        <w:t xml:space="preserve"> UPR cycles there </w:t>
      </w:r>
      <w:r w:rsidR="008E0E81" w:rsidRPr="007102CB">
        <w:rPr>
          <w:rFonts w:ascii="Times New Roman" w:hAnsi="Times New Roman" w:cs="Times New Roman"/>
        </w:rPr>
        <w:lastRenderedPageBreak/>
        <w:t>were several joint submissions made by several NGOs on a specific thematic issues.</w:t>
      </w:r>
      <w:r w:rsidR="0094778E" w:rsidRPr="007102CB">
        <w:rPr>
          <w:rFonts w:ascii="Times New Roman" w:hAnsi="Times New Roman" w:cs="Times New Roman"/>
        </w:rPr>
        <w:t xml:space="preserve"> </w:t>
      </w:r>
      <w:r w:rsidR="000F397A" w:rsidRPr="007102CB">
        <w:rPr>
          <w:rFonts w:ascii="Times New Roman" w:eastAsia="Calibri" w:hAnsi="Times New Roman" w:cs="Times New Roman"/>
        </w:rPr>
        <w:t xml:space="preserve">Whereas the KSC stakeholder reports encompassed a vast array of organisations and thematic issues, NGO coalitions in Zambia were small and limited thematically with both their capacity and scope inherently more restricted than their more organised and diverse counterparts in Kenya. </w:t>
      </w:r>
      <w:r w:rsidR="0094778E" w:rsidRPr="007102CB">
        <w:rPr>
          <w:rFonts w:ascii="Times New Roman" w:hAnsi="Times New Roman" w:cs="Times New Roman"/>
        </w:rPr>
        <w:t xml:space="preserve">In our analysis in </w:t>
      </w:r>
      <w:r w:rsidR="00006761" w:rsidRPr="007102CB">
        <w:rPr>
          <w:rFonts w:ascii="Times New Roman" w:hAnsi="Times New Roman" w:cs="Times New Roman"/>
        </w:rPr>
        <w:t>S</w:t>
      </w:r>
      <w:r w:rsidR="0094778E" w:rsidRPr="007102CB">
        <w:rPr>
          <w:rFonts w:ascii="Times New Roman" w:hAnsi="Times New Roman" w:cs="Times New Roman"/>
        </w:rPr>
        <w:t xml:space="preserve">ection </w:t>
      </w:r>
      <w:r w:rsidR="00171E8B">
        <w:rPr>
          <w:rFonts w:ascii="Times New Roman" w:hAnsi="Times New Roman" w:cs="Times New Roman"/>
        </w:rPr>
        <w:t>I</w:t>
      </w:r>
      <w:r w:rsidR="00817F87">
        <w:rPr>
          <w:rFonts w:ascii="Times New Roman" w:hAnsi="Times New Roman" w:cs="Times New Roman"/>
        </w:rPr>
        <w:t>II</w:t>
      </w:r>
      <w:r w:rsidR="0094778E" w:rsidRPr="007102CB">
        <w:rPr>
          <w:rFonts w:ascii="Times New Roman" w:hAnsi="Times New Roman" w:cs="Times New Roman"/>
        </w:rPr>
        <w:t xml:space="preserve">, we considered whether the </w:t>
      </w:r>
      <w:r w:rsidR="00C57FD4" w:rsidRPr="007102CB">
        <w:rPr>
          <w:rFonts w:ascii="Times New Roman" w:hAnsi="Times New Roman" w:cs="Times New Roman"/>
        </w:rPr>
        <w:t>existence of a National NGO UPR coalition</w:t>
      </w:r>
      <w:r w:rsidR="00A90842" w:rsidRPr="007102CB">
        <w:rPr>
          <w:rFonts w:ascii="Times New Roman" w:hAnsi="Times New Roman" w:cs="Times New Roman"/>
        </w:rPr>
        <w:t xml:space="preserve"> may</w:t>
      </w:r>
      <w:r w:rsidR="00C57FD4" w:rsidRPr="007102CB">
        <w:rPr>
          <w:rFonts w:ascii="Times New Roman" w:hAnsi="Times New Roman" w:cs="Times New Roman"/>
        </w:rPr>
        <w:t xml:space="preserve"> </w:t>
      </w:r>
      <w:r w:rsidR="00BA4AF6" w:rsidRPr="007102CB">
        <w:rPr>
          <w:rFonts w:ascii="Times New Roman" w:hAnsi="Times New Roman" w:cs="Times New Roman"/>
        </w:rPr>
        <w:t xml:space="preserve">influence the quality of </w:t>
      </w:r>
      <w:r w:rsidR="00A90842" w:rsidRPr="007102CB">
        <w:rPr>
          <w:rFonts w:ascii="Times New Roman" w:hAnsi="Times New Roman" w:cs="Times New Roman"/>
        </w:rPr>
        <w:t xml:space="preserve">NGO </w:t>
      </w:r>
      <w:r w:rsidR="00BA4AF6" w:rsidRPr="007102CB">
        <w:rPr>
          <w:rFonts w:ascii="Times New Roman" w:hAnsi="Times New Roman" w:cs="Times New Roman"/>
        </w:rPr>
        <w:t>recommendations and the ability of NGOs to influence state recommendations</w:t>
      </w:r>
      <w:r w:rsidR="00A90842" w:rsidRPr="007102CB">
        <w:rPr>
          <w:rFonts w:ascii="Times New Roman" w:hAnsi="Times New Roman" w:cs="Times New Roman"/>
        </w:rPr>
        <w:t xml:space="preserve"> to their peers</w:t>
      </w:r>
      <w:r w:rsidR="00BA4AF6" w:rsidRPr="007102CB">
        <w:rPr>
          <w:rFonts w:ascii="Times New Roman" w:hAnsi="Times New Roman" w:cs="Times New Roman"/>
        </w:rPr>
        <w:t xml:space="preserve">. </w:t>
      </w:r>
    </w:p>
    <w:p w14:paraId="07E495C8" w14:textId="00ED9195" w:rsidR="3ACA218E" w:rsidRPr="007102CB" w:rsidRDefault="4C7E02B0" w:rsidP="00770443">
      <w:pPr>
        <w:pStyle w:val="Heading3"/>
        <w:numPr>
          <w:ilvl w:val="0"/>
          <w:numId w:val="17"/>
        </w:numPr>
        <w:spacing w:before="100" w:beforeAutospacing="1" w:after="100" w:afterAutospacing="1" w:line="276" w:lineRule="auto"/>
        <w:rPr>
          <w:rFonts w:ascii="Times New Roman" w:hAnsi="Times New Roman" w:cs="Times New Roman"/>
          <w:color w:val="auto"/>
          <w:lang w:val="en-AU"/>
        </w:rPr>
      </w:pPr>
      <w:r w:rsidRPr="007102CB">
        <w:rPr>
          <w:rFonts w:ascii="Times New Roman" w:hAnsi="Times New Roman" w:cs="Times New Roman"/>
          <w:color w:val="auto"/>
        </w:rPr>
        <w:t>The Impact of Geneva Pre-Review Side Events</w:t>
      </w:r>
    </w:p>
    <w:p w14:paraId="678A4779" w14:textId="651B4731" w:rsidR="3ACA218E" w:rsidRPr="007102CB" w:rsidRDefault="32BA3FC2" w:rsidP="0077044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 xml:space="preserve">The pre-review side events held in Geneva occur approximately one month prior to every UPR session and offer </w:t>
      </w:r>
      <w:r w:rsidR="003664F2" w:rsidRPr="007102CB">
        <w:rPr>
          <w:rFonts w:ascii="Times New Roman" w:eastAsia="Calibri" w:hAnsi="Times New Roman" w:cs="Times New Roman"/>
        </w:rPr>
        <w:t>a</w:t>
      </w:r>
      <w:r w:rsidRPr="007102CB">
        <w:rPr>
          <w:rFonts w:ascii="Times New Roman" w:eastAsia="Calibri" w:hAnsi="Times New Roman" w:cs="Times New Roman"/>
        </w:rPr>
        <w:t xml:space="preserve"> platform for further NGO advocacy, raising awareness of pertinent issues in a constructive environment.  </w:t>
      </w:r>
      <w:r w:rsidR="0033742F" w:rsidRPr="007102CB">
        <w:rPr>
          <w:rFonts w:ascii="Times New Roman" w:eastAsia="Calibri" w:hAnsi="Times New Roman" w:cs="Times New Roman"/>
        </w:rPr>
        <w:t>According to</w:t>
      </w:r>
      <w:r w:rsidRPr="007102CB">
        <w:rPr>
          <w:rFonts w:ascii="Times New Roman" w:eastAsia="Calibri" w:hAnsi="Times New Roman" w:cs="Times New Roman"/>
        </w:rPr>
        <w:t xml:space="preserve"> </w:t>
      </w:r>
      <w:proofErr w:type="spellStart"/>
      <w:r w:rsidRPr="007102CB">
        <w:rPr>
          <w:rFonts w:ascii="Times New Roman" w:eastAsia="Calibri" w:hAnsi="Times New Roman" w:cs="Times New Roman"/>
        </w:rPr>
        <w:t>Schokman</w:t>
      </w:r>
      <w:proofErr w:type="spellEnd"/>
      <w:r w:rsidRPr="007102CB">
        <w:rPr>
          <w:rFonts w:ascii="Times New Roman" w:eastAsia="Calibri" w:hAnsi="Times New Roman" w:cs="Times New Roman"/>
        </w:rPr>
        <w:t xml:space="preserve"> and Lynch, the sessions are one of several ‘hooks’ by which NGOs can obtain interest and coverage.</w:t>
      </w:r>
      <w:r w:rsidR="005D3554">
        <w:rPr>
          <w:rStyle w:val="FootnoteReference"/>
          <w:rFonts w:ascii="Times New Roman" w:eastAsia="Calibri" w:hAnsi="Times New Roman" w:cs="Times New Roman"/>
        </w:rPr>
        <w:footnoteReference w:id="21"/>
      </w:r>
      <w:r w:rsidRPr="007102CB">
        <w:rPr>
          <w:rFonts w:ascii="Times New Roman" w:eastAsia="Calibri" w:hAnsi="Times New Roman" w:cs="Times New Roman"/>
        </w:rPr>
        <w:t xml:space="preserve"> The pre-review side events are hosted by UPR Info and were introduced at the beginning of Cycle II as a means for civil society to increasingly and ‘dynamically’ engage with the UPR process.</w:t>
      </w:r>
      <w:r w:rsidR="007A5449">
        <w:rPr>
          <w:rStyle w:val="FootnoteReference"/>
          <w:rFonts w:ascii="Times New Roman" w:eastAsia="Calibri" w:hAnsi="Times New Roman" w:cs="Times New Roman"/>
        </w:rPr>
        <w:footnoteReference w:id="22"/>
      </w:r>
      <w:r w:rsidRPr="007102CB">
        <w:rPr>
          <w:rFonts w:ascii="Times New Roman" w:eastAsia="Calibri" w:hAnsi="Times New Roman" w:cs="Times New Roman"/>
        </w:rPr>
        <w:t xml:space="preserve">  As a public forum, they bring together a number of stakeholders, including CSOs, national human rights institutions (NHRIs), </w:t>
      </w:r>
      <w:r w:rsidR="00840514" w:rsidRPr="007102CB">
        <w:rPr>
          <w:rFonts w:ascii="Times New Roman" w:eastAsia="Calibri" w:hAnsi="Times New Roman" w:cs="Times New Roman"/>
        </w:rPr>
        <w:t>State</w:t>
      </w:r>
      <w:r w:rsidRPr="007102CB">
        <w:rPr>
          <w:rFonts w:ascii="Times New Roman" w:eastAsia="Calibri" w:hAnsi="Times New Roman" w:cs="Times New Roman"/>
        </w:rPr>
        <w:t xml:space="preserve"> Permanent Missions</w:t>
      </w:r>
      <w:r w:rsidR="00840514" w:rsidRPr="007102CB">
        <w:rPr>
          <w:rFonts w:ascii="Times New Roman" w:eastAsia="Calibri" w:hAnsi="Times New Roman" w:cs="Times New Roman"/>
        </w:rPr>
        <w:t xml:space="preserve"> in Geneva</w:t>
      </w:r>
      <w:r w:rsidR="005D6B48" w:rsidRPr="007102CB">
        <w:rPr>
          <w:rFonts w:ascii="Times New Roman" w:eastAsia="Calibri" w:hAnsi="Times New Roman" w:cs="Times New Roman"/>
        </w:rPr>
        <w:t xml:space="preserve"> (</w:t>
      </w:r>
      <w:r w:rsidRPr="007102CB">
        <w:rPr>
          <w:rFonts w:ascii="Times New Roman" w:eastAsia="Calibri" w:hAnsi="Times New Roman" w:cs="Times New Roman"/>
        </w:rPr>
        <w:t xml:space="preserve">including </w:t>
      </w:r>
      <w:r w:rsidR="005D6B48" w:rsidRPr="007102CB">
        <w:rPr>
          <w:rFonts w:ascii="Times New Roman" w:eastAsia="Calibri" w:hAnsi="Times New Roman" w:cs="Times New Roman"/>
        </w:rPr>
        <w:t xml:space="preserve">representatives of </w:t>
      </w:r>
      <w:r w:rsidRPr="007102CB">
        <w:rPr>
          <w:rFonts w:ascii="Times New Roman" w:eastAsia="Calibri" w:hAnsi="Times New Roman" w:cs="Times New Roman"/>
        </w:rPr>
        <w:t>the State</w:t>
      </w:r>
      <w:r w:rsidR="005D6B48" w:rsidRPr="007102CB">
        <w:rPr>
          <w:rFonts w:ascii="Times New Roman" w:eastAsia="Calibri" w:hAnsi="Times New Roman" w:cs="Times New Roman"/>
        </w:rPr>
        <w:t>s</w:t>
      </w:r>
      <w:r w:rsidRPr="007102CB">
        <w:rPr>
          <w:rFonts w:ascii="Times New Roman" w:eastAsia="Calibri" w:hAnsi="Times New Roman" w:cs="Times New Roman"/>
        </w:rPr>
        <w:t xml:space="preserve"> </w:t>
      </w:r>
      <w:r w:rsidR="005D6B48" w:rsidRPr="007102CB">
        <w:rPr>
          <w:rFonts w:ascii="Times New Roman" w:eastAsia="Calibri" w:hAnsi="Times New Roman" w:cs="Times New Roman"/>
        </w:rPr>
        <w:t>to be reviewed)</w:t>
      </w:r>
      <w:r w:rsidRPr="007102CB">
        <w:rPr>
          <w:rFonts w:ascii="Times New Roman" w:eastAsia="Calibri" w:hAnsi="Times New Roman" w:cs="Times New Roman"/>
        </w:rPr>
        <w:t xml:space="preserve"> and a number of other interested parties. </w:t>
      </w:r>
      <w:r w:rsidR="2ECA69DC" w:rsidRPr="007102CB">
        <w:rPr>
          <w:rFonts w:ascii="Times New Roman" w:eastAsia="Calibri" w:hAnsi="Times New Roman" w:cs="Times New Roman"/>
        </w:rPr>
        <w:t>The</w:t>
      </w:r>
      <w:r w:rsidRPr="007102CB">
        <w:rPr>
          <w:rFonts w:ascii="Times New Roman" w:eastAsia="Calibri" w:hAnsi="Times New Roman" w:cs="Times New Roman"/>
        </w:rPr>
        <w:t xml:space="preserve"> side events have</w:t>
      </w:r>
      <w:r w:rsidR="7F914C36" w:rsidRPr="007102CB">
        <w:rPr>
          <w:rFonts w:ascii="Times New Roman" w:eastAsia="Calibri" w:hAnsi="Times New Roman" w:cs="Times New Roman"/>
        </w:rPr>
        <w:t xml:space="preserve"> arguably</w:t>
      </w:r>
      <w:r w:rsidRPr="007102CB">
        <w:rPr>
          <w:rFonts w:ascii="Times New Roman" w:eastAsia="Calibri" w:hAnsi="Times New Roman" w:cs="Times New Roman"/>
        </w:rPr>
        <w:t xml:space="preserve"> matured into the largest platform for CSOs</w:t>
      </w:r>
      <w:r w:rsidR="7914886C" w:rsidRPr="007102CB">
        <w:rPr>
          <w:rFonts w:ascii="Times New Roman" w:eastAsia="Calibri" w:hAnsi="Times New Roman" w:cs="Times New Roman"/>
        </w:rPr>
        <w:t xml:space="preserve"> facilitated by an NGO</w:t>
      </w:r>
      <w:r w:rsidRPr="007102CB">
        <w:rPr>
          <w:rFonts w:ascii="Times New Roman" w:eastAsia="Calibri" w:hAnsi="Times New Roman" w:cs="Times New Roman"/>
        </w:rPr>
        <w:t xml:space="preserve">, </w:t>
      </w:r>
      <w:r w:rsidR="00835518" w:rsidRPr="007102CB">
        <w:rPr>
          <w:rFonts w:ascii="Times New Roman" w:eastAsia="Calibri" w:hAnsi="Times New Roman" w:cs="Times New Roman"/>
        </w:rPr>
        <w:t xml:space="preserve">with the goal </w:t>
      </w:r>
      <w:r w:rsidRPr="007102CB">
        <w:rPr>
          <w:rFonts w:ascii="Times New Roman" w:eastAsia="Calibri" w:hAnsi="Times New Roman" w:cs="Times New Roman"/>
        </w:rPr>
        <w:t xml:space="preserve">of </w:t>
      </w:r>
      <w:r w:rsidR="00877460" w:rsidRPr="007102CB">
        <w:rPr>
          <w:rFonts w:ascii="Times New Roman" w:eastAsia="Calibri" w:hAnsi="Times New Roman" w:cs="Times New Roman"/>
        </w:rPr>
        <w:t xml:space="preserve">providing an international platform for </w:t>
      </w:r>
      <w:r w:rsidRPr="007102CB">
        <w:rPr>
          <w:rFonts w:ascii="Times New Roman" w:eastAsia="Calibri" w:hAnsi="Times New Roman" w:cs="Times New Roman"/>
        </w:rPr>
        <w:t>human rights advocacy</w:t>
      </w:r>
      <w:r w:rsidR="00877460" w:rsidRPr="007102CB">
        <w:rPr>
          <w:rFonts w:ascii="Times New Roman" w:eastAsia="Calibri" w:hAnsi="Times New Roman" w:cs="Times New Roman"/>
        </w:rPr>
        <w:t xml:space="preserve"> by NGOs in the UPR process</w:t>
      </w:r>
      <w:r w:rsidR="3382431C" w:rsidRPr="007102CB">
        <w:rPr>
          <w:rFonts w:ascii="Times New Roman" w:eastAsia="Calibri" w:hAnsi="Times New Roman" w:cs="Times New Roman"/>
        </w:rPr>
        <w:t>.</w:t>
      </w:r>
      <w:r w:rsidR="00303322">
        <w:rPr>
          <w:rStyle w:val="FootnoteReference"/>
          <w:rFonts w:ascii="Times New Roman" w:eastAsia="Calibri" w:hAnsi="Times New Roman" w:cs="Times New Roman"/>
        </w:rPr>
        <w:footnoteReference w:id="23"/>
      </w:r>
      <w:r w:rsidRPr="007102CB">
        <w:rPr>
          <w:rFonts w:ascii="Times New Roman" w:eastAsia="Calibri" w:hAnsi="Times New Roman" w:cs="Times New Roman"/>
        </w:rPr>
        <w:t xml:space="preserve"> </w:t>
      </w:r>
      <w:r w:rsidR="730C5620" w:rsidRPr="007102CB">
        <w:rPr>
          <w:rFonts w:ascii="Times New Roman" w:eastAsia="Calibri" w:hAnsi="Times New Roman" w:cs="Times New Roman"/>
        </w:rPr>
        <w:t xml:space="preserve">They </w:t>
      </w:r>
      <w:r w:rsidR="610A25B7" w:rsidRPr="007102CB">
        <w:rPr>
          <w:rFonts w:ascii="Times New Roman" w:eastAsia="Calibri" w:hAnsi="Times New Roman" w:cs="Times New Roman"/>
        </w:rPr>
        <w:t>provid</w:t>
      </w:r>
      <w:r w:rsidR="093884BD" w:rsidRPr="007102CB">
        <w:rPr>
          <w:rFonts w:ascii="Times New Roman" w:eastAsia="Calibri" w:hAnsi="Times New Roman" w:cs="Times New Roman"/>
        </w:rPr>
        <w:t>e</w:t>
      </w:r>
      <w:r w:rsidRPr="007102CB">
        <w:rPr>
          <w:rFonts w:ascii="Times New Roman" w:eastAsia="Calibri" w:hAnsi="Times New Roman" w:cs="Times New Roman"/>
        </w:rPr>
        <w:t xml:space="preserve"> a necessary stage for NGOs to build upon their contribution to the information-gathering stage of UPR </w:t>
      </w:r>
      <w:r w:rsidR="00B73D5E" w:rsidRPr="007102CB">
        <w:rPr>
          <w:rFonts w:ascii="Times New Roman" w:eastAsia="Calibri" w:hAnsi="Times New Roman" w:cs="Times New Roman"/>
        </w:rPr>
        <w:t>and</w:t>
      </w:r>
      <w:r w:rsidRPr="007102CB">
        <w:rPr>
          <w:rFonts w:ascii="Times New Roman" w:eastAsia="Calibri" w:hAnsi="Times New Roman" w:cs="Times New Roman"/>
        </w:rPr>
        <w:t xml:space="preserve"> the written stakeholder submission. At each side event up to six </w:t>
      </w:r>
      <w:r w:rsidR="0016526C" w:rsidRPr="007102CB">
        <w:rPr>
          <w:rFonts w:ascii="Times New Roman" w:eastAsia="Calibri" w:hAnsi="Times New Roman" w:cs="Times New Roman"/>
        </w:rPr>
        <w:t>NGO</w:t>
      </w:r>
      <w:r w:rsidRPr="007102CB">
        <w:rPr>
          <w:rFonts w:ascii="Times New Roman" w:eastAsia="Calibri" w:hAnsi="Times New Roman" w:cs="Times New Roman"/>
        </w:rPr>
        <w:t xml:space="preserve">s are selected to </w:t>
      </w:r>
      <w:r w:rsidR="00DF2A96" w:rsidRPr="007102CB">
        <w:rPr>
          <w:rFonts w:ascii="Times New Roman" w:eastAsia="Calibri" w:hAnsi="Times New Roman" w:cs="Times New Roman"/>
        </w:rPr>
        <w:t xml:space="preserve">deliver a </w:t>
      </w:r>
      <w:r w:rsidR="0047328B" w:rsidRPr="007102CB">
        <w:rPr>
          <w:rFonts w:ascii="Times New Roman" w:eastAsia="Calibri" w:hAnsi="Times New Roman" w:cs="Times New Roman"/>
        </w:rPr>
        <w:t>5–7 minutes</w:t>
      </w:r>
      <w:r w:rsidR="00DF2A96" w:rsidRPr="007102CB">
        <w:rPr>
          <w:rFonts w:ascii="Times New Roman" w:eastAsia="Calibri" w:hAnsi="Times New Roman" w:cs="Times New Roman"/>
        </w:rPr>
        <w:t xml:space="preserve"> presentation on</w:t>
      </w:r>
      <w:r w:rsidRPr="007102CB">
        <w:rPr>
          <w:rFonts w:ascii="Times New Roman" w:eastAsia="Calibri" w:hAnsi="Times New Roman" w:cs="Times New Roman"/>
        </w:rPr>
        <w:t xml:space="preserve"> a particular human rights issue in their </w:t>
      </w:r>
      <w:r w:rsidR="0047328B" w:rsidRPr="007102CB">
        <w:rPr>
          <w:rFonts w:ascii="Times New Roman" w:eastAsia="Calibri" w:hAnsi="Times New Roman" w:cs="Times New Roman"/>
        </w:rPr>
        <w:t>country and</w:t>
      </w:r>
      <w:r w:rsidRPr="007102CB">
        <w:rPr>
          <w:rFonts w:ascii="Times New Roman" w:eastAsia="Calibri" w:hAnsi="Times New Roman" w:cs="Times New Roman"/>
        </w:rPr>
        <w:t xml:space="preserve"> provide recommendations which they would like States to </w:t>
      </w:r>
      <w:r w:rsidR="0047328B" w:rsidRPr="007102CB">
        <w:rPr>
          <w:rFonts w:ascii="Times New Roman" w:eastAsia="Calibri" w:hAnsi="Times New Roman" w:cs="Times New Roman"/>
        </w:rPr>
        <w:t>make to their peers</w:t>
      </w:r>
      <w:r w:rsidRPr="007102CB">
        <w:rPr>
          <w:rFonts w:ascii="Times New Roman" w:eastAsia="Calibri" w:hAnsi="Times New Roman" w:cs="Times New Roman"/>
        </w:rPr>
        <w:t xml:space="preserve"> during the review.</w:t>
      </w:r>
    </w:p>
    <w:p w14:paraId="0FCA035C" w14:textId="5E6C7CA5" w:rsidR="3ACA218E" w:rsidRPr="007102CB" w:rsidRDefault="391E7A41" w:rsidP="309CE6D3">
      <w:pPr>
        <w:spacing w:beforeAutospacing="1"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Indeed, it would be remiss to omit to mention</w:t>
      </w:r>
      <w:r w:rsidR="32BA3FC2" w:rsidRPr="007102CB">
        <w:rPr>
          <w:rFonts w:ascii="Times New Roman" w:eastAsia="Calibri" w:hAnsi="Times New Roman" w:cs="Times New Roman"/>
        </w:rPr>
        <w:t xml:space="preserve"> the void that </w:t>
      </w:r>
      <w:r w:rsidR="6F48193A" w:rsidRPr="007102CB">
        <w:rPr>
          <w:rFonts w:ascii="Times New Roman" w:eastAsia="Calibri" w:hAnsi="Times New Roman" w:cs="Times New Roman"/>
        </w:rPr>
        <w:t>these pre-review side events fill</w:t>
      </w:r>
      <w:r w:rsidR="32BA3FC2" w:rsidRPr="007102CB">
        <w:rPr>
          <w:rFonts w:ascii="Times New Roman" w:eastAsia="Calibri" w:hAnsi="Times New Roman" w:cs="Times New Roman"/>
        </w:rPr>
        <w:t xml:space="preserve">. Leading up to the interactive dialogue, NGOs </w:t>
      </w:r>
      <w:r w:rsidR="008A3C24" w:rsidRPr="007102CB">
        <w:rPr>
          <w:rFonts w:ascii="Times New Roman" w:eastAsia="Calibri" w:hAnsi="Times New Roman" w:cs="Times New Roman"/>
        </w:rPr>
        <w:t>need to maintain</w:t>
      </w:r>
      <w:r w:rsidR="32BA3FC2" w:rsidRPr="007102CB">
        <w:rPr>
          <w:rFonts w:ascii="Times New Roman" w:eastAsia="Calibri" w:hAnsi="Times New Roman" w:cs="Times New Roman"/>
        </w:rPr>
        <w:t xml:space="preserve"> continued contact with </w:t>
      </w:r>
      <w:r w:rsidR="00865375" w:rsidRPr="007102CB">
        <w:rPr>
          <w:rFonts w:ascii="Times New Roman" w:eastAsia="Calibri" w:hAnsi="Times New Roman" w:cs="Times New Roman"/>
        </w:rPr>
        <w:t>S</w:t>
      </w:r>
      <w:r w:rsidR="32BA3FC2" w:rsidRPr="007102CB">
        <w:rPr>
          <w:rFonts w:ascii="Times New Roman" w:eastAsia="Calibri" w:hAnsi="Times New Roman" w:cs="Times New Roman"/>
        </w:rPr>
        <w:t xml:space="preserve">tates </w:t>
      </w:r>
      <w:r w:rsidR="00865375" w:rsidRPr="007102CB">
        <w:rPr>
          <w:rFonts w:ascii="Times New Roman" w:eastAsia="Calibri" w:hAnsi="Times New Roman" w:cs="Times New Roman"/>
        </w:rPr>
        <w:t xml:space="preserve">making recommendation in the </w:t>
      </w:r>
      <w:r w:rsidR="008A3C24" w:rsidRPr="007102CB">
        <w:rPr>
          <w:rFonts w:ascii="Times New Roman" w:eastAsia="Calibri" w:hAnsi="Times New Roman" w:cs="Times New Roman"/>
        </w:rPr>
        <w:t xml:space="preserve">UPR </w:t>
      </w:r>
      <w:r w:rsidR="00865375" w:rsidRPr="007102CB">
        <w:rPr>
          <w:rFonts w:ascii="Times New Roman" w:eastAsia="Calibri" w:hAnsi="Times New Roman" w:cs="Times New Roman"/>
        </w:rPr>
        <w:t>process</w:t>
      </w:r>
      <w:r w:rsidR="003C4B97">
        <w:rPr>
          <w:rFonts w:ascii="Times New Roman" w:eastAsia="Calibri" w:hAnsi="Times New Roman" w:cs="Times New Roman"/>
        </w:rPr>
        <w:t>.</w:t>
      </w:r>
      <w:r w:rsidR="003C4B97">
        <w:rPr>
          <w:rStyle w:val="FootnoteReference"/>
          <w:rFonts w:ascii="Times New Roman" w:eastAsia="Calibri" w:hAnsi="Times New Roman" w:cs="Times New Roman"/>
        </w:rPr>
        <w:footnoteReference w:id="24"/>
      </w:r>
      <w:r w:rsidR="32BA3FC2" w:rsidRPr="007102CB">
        <w:rPr>
          <w:rFonts w:ascii="Times New Roman" w:eastAsia="Calibri" w:hAnsi="Times New Roman" w:cs="Times New Roman"/>
        </w:rPr>
        <w:t xml:space="preserve"> Prior to the commencement of the pre-review side events, several months pass between the submission of </w:t>
      </w:r>
      <w:r w:rsidR="008A3C24" w:rsidRPr="007102CB">
        <w:rPr>
          <w:rFonts w:ascii="Times New Roman" w:eastAsia="Calibri" w:hAnsi="Times New Roman" w:cs="Times New Roman"/>
        </w:rPr>
        <w:t>NGO</w:t>
      </w:r>
      <w:r w:rsidR="32BA3FC2" w:rsidRPr="007102CB">
        <w:rPr>
          <w:rFonts w:ascii="Times New Roman" w:eastAsia="Calibri" w:hAnsi="Times New Roman" w:cs="Times New Roman"/>
        </w:rPr>
        <w:t xml:space="preserve"> reports and the review date, creating</w:t>
      </w:r>
      <w:r w:rsidR="4C4FE13C" w:rsidRPr="007102CB">
        <w:rPr>
          <w:rFonts w:ascii="Times New Roman" w:eastAsia="Calibri" w:hAnsi="Times New Roman" w:cs="Times New Roman"/>
        </w:rPr>
        <w:t xml:space="preserve"> somewhat of</w:t>
      </w:r>
      <w:r w:rsidR="32BA3FC2" w:rsidRPr="007102CB">
        <w:rPr>
          <w:rFonts w:ascii="Times New Roman" w:eastAsia="Calibri" w:hAnsi="Times New Roman" w:cs="Times New Roman"/>
        </w:rPr>
        <w:t xml:space="preserve"> an </w:t>
      </w:r>
      <w:r w:rsidR="43905A23" w:rsidRPr="007102CB">
        <w:rPr>
          <w:rFonts w:ascii="Times New Roman" w:eastAsia="Calibri" w:hAnsi="Times New Roman" w:cs="Times New Roman"/>
        </w:rPr>
        <w:t>'</w:t>
      </w:r>
      <w:r w:rsidR="32BA3FC2" w:rsidRPr="007102CB">
        <w:rPr>
          <w:rFonts w:ascii="Times New Roman" w:eastAsia="Calibri" w:hAnsi="Times New Roman" w:cs="Times New Roman"/>
        </w:rPr>
        <w:t>information vacuum</w:t>
      </w:r>
      <w:r w:rsidR="3BF6BDFD" w:rsidRPr="007102CB">
        <w:rPr>
          <w:rFonts w:ascii="Times New Roman" w:eastAsia="Calibri" w:hAnsi="Times New Roman" w:cs="Times New Roman"/>
        </w:rPr>
        <w:t>’</w:t>
      </w:r>
      <w:r w:rsidR="32BA3FC2" w:rsidRPr="007102CB">
        <w:rPr>
          <w:rFonts w:ascii="Times New Roman" w:eastAsia="Calibri" w:hAnsi="Times New Roman" w:cs="Times New Roman"/>
        </w:rPr>
        <w:t>.</w:t>
      </w:r>
      <w:r w:rsidR="000A07D3">
        <w:rPr>
          <w:rStyle w:val="FootnoteReference"/>
          <w:rFonts w:ascii="Times New Roman" w:eastAsia="Calibri" w:hAnsi="Times New Roman" w:cs="Times New Roman"/>
        </w:rPr>
        <w:footnoteReference w:id="25"/>
      </w:r>
      <w:r w:rsidR="32BA3FC2" w:rsidRPr="007102CB">
        <w:rPr>
          <w:rFonts w:ascii="Times New Roman" w:eastAsia="Calibri" w:hAnsi="Times New Roman" w:cs="Times New Roman"/>
        </w:rPr>
        <w:t xml:space="preserve"> Moreover, </w:t>
      </w:r>
      <w:r w:rsidR="008A3C24" w:rsidRPr="007102CB">
        <w:rPr>
          <w:rFonts w:ascii="Times New Roman" w:eastAsia="Calibri" w:hAnsi="Times New Roman" w:cs="Times New Roman"/>
        </w:rPr>
        <w:t>NGOs</w:t>
      </w:r>
      <w:r w:rsidR="32BA3FC2" w:rsidRPr="007102CB">
        <w:rPr>
          <w:rFonts w:ascii="Times New Roman" w:eastAsia="Calibri" w:hAnsi="Times New Roman" w:cs="Times New Roman"/>
        </w:rPr>
        <w:t xml:space="preserve"> cannot take the floor during the UPR review session. The pre-review sessions seek to overcome this barrier to NGO participation in the process, providing an</w:t>
      </w:r>
      <w:r w:rsidR="1E043263" w:rsidRPr="007102CB">
        <w:rPr>
          <w:rFonts w:ascii="Times New Roman" w:eastAsia="Calibri" w:hAnsi="Times New Roman" w:cs="Times New Roman"/>
        </w:rPr>
        <w:t xml:space="preserve"> important</w:t>
      </w:r>
      <w:r w:rsidR="32BA3FC2" w:rsidRPr="007102CB">
        <w:rPr>
          <w:rFonts w:ascii="Times New Roman" w:eastAsia="Calibri" w:hAnsi="Times New Roman" w:cs="Times New Roman"/>
        </w:rPr>
        <w:t xml:space="preserve"> opportunity for </w:t>
      </w:r>
      <w:r w:rsidR="5915EAAD" w:rsidRPr="007102CB">
        <w:rPr>
          <w:rFonts w:ascii="Times New Roman" w:eastAsia="Calibri" w:hAnsi="Times New Roman" w:cs="Times New Roman"/>
        </w:rPr>
        <w:t>direct contact with</w:t>
      </w:r>
      <w:r w:rsidR="32BA3FC2" w:rsidRPr="007102CB">
        <w:rPr>
          <w:rFonts w:ascii="Times New Roman" w:eastAsia="Calibri" w:hAnsi="Times New Roman" w:cs="Times New Roman"/>
        </w:rPr>
        <w:t xml:space="preserve"> States. Therefore, the pre-review side events offer a distinct and somewhat final opportunity to reinforce issues and raise any evolving developments directly to the Recommending States and the State under review.  </w:t>
      </w:r>
    </w:p>
    <w:p w14:paraId="2307AF10" w14:textId="3CD450C5" w:rsidR="3ACA218E" w:rsidRPr="007102CB" w:rsidRDefault="1D3CE056" w:rsidP="309CE6D3">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According to Natalie Bai</w:t>
      </w:r>
      <w:r w:rsidR="001A5551" w:rsidRPr="007102CB">
        <w:rPr>
          <w:rFonts w:ascii="Times New Roman" w:eastAsia="Calibri" w:hAnsi="Times New Roman" w:cs="Times New Roman"/>
        </w:rPr>
        <w:t>r</w:t>
      </w:r>
      <w:r w:rsidRPr="007102CB">
        <w:rPr>
          <w:rFonts w:ascii="Times New Roman" w:eastAsia="Calibri" w:hAnsi="Times New Roman" w:cs="Times New Roman"/>
        </w:rPr>
        <w:t>d the</w:t>
      </w:r>
      <w:r w:rsidR="32BA3FC2" w:rsidRPr="007102CB">
        <w:rPr>
          <w:rFonts w:ascii="Times New Roman" w:eastAsia="Calibri" w:hAnsi="Times New Roman" w:cs="Times New Roman"/>
        </w:rPr>
        <w:t xml:space="preserve"> potential impact of the pre-review side events </w:t>
      </w:r>
      <w:r w:rsidR="0C18B07B" w:rsidRPr="007102CB">
        <w:rPr>
          <w:rFonts w:ascii="Times New Roman" w:eastAsia="Calibri" w:hAnsi="Times New Roman" w:cs="Times New Roman"/>
        </w:rPr>
        <w:t>in addressing th</w:t>
      </w:r>
      <w:r w:rsidR="00AA1BD6" w:rsidRPr="007102CB">
        <w:rPr>
          <w:rFonts w:ascii="Times New Roman" w:eastAsia="Calibri" w:hAnsi="Times New Roman" w:cs="Times New Roman"/>
        </w:rPr>
        <w:t>e</w:t>
      </w:r>
      <w:r w:rsidR="0C18B07B" w:rsidRPr="007102CB">
        <w:rPr>
          <w:rFonts w:ascii="Times New Roman" w:eastAsia="Calibri" w:hAnsi="Times New Roman" w:cs="Times New Roman"/>
        </w:rPr>
        <w:t xml:space="preserve"> void </w:t>
      </w:r>
      <w:r w:rsidR="00AA1BD6" w:rsidRPr="007102CB">
        <w:rPr>
          <w:rFonts w:ascii="Times New Roman" w:eastAsia="Calibri" w:hAnsi="Times New Roman" w:cs="Times New Roman"/>
        </w:rPr>
        <w:t xml:space="preserve">highlighted above </w:t>
      </w:r>
      <w:r w:rsidR="32BA3FC2" w:rsidRPr="007102CB">
        <w:rPr>
          <w:rFonts w:ascii="Times New Roman" w:eastAsia="Calibri" w:hAnsi="Times New Roman" w:cs="Times New Roman"/>
        </w:rPr>
        <w:t xml:space="preserve">is three-fold. </w:t>
      </w:r>
      <w:r w:rsidR="005234BE" w:rsidRPr="007102CB">
        <w:rPr>
          <w:rFonts w:ascii="Times New Roman" w:eastAsia="Calibri" w:hAnsi="Times New Roman" w:cs="Times New Roman"/>
        </w:rPr>
        <w:t>By</w:t>
      </w:r>
      <w:r w:rsidR="32BA3FC2" w:rsidRPr="007102CB">
        <w:rPr>
          <w:rFonts w:ascii="Times New Roman" w:eastAsia="Calibri" w:hAnsi="Times New Roman" w:cs="Times New Roman"/>
        </w:rPr>
        <w:t xml:space="preserve"> providing a uniquely diverse and collaborative environment, the</w:t>
      </w:r>
      <w:r w:rsidR="005234BE" w:rsidRPr="007102CB">
        <w:rPr>
          <w:rFonts w:ascii="Times New Roman" w:eastAsia="Calibri" w:hAnsi="Times New Roman" w:cs="Times New Roman"/>
        </w:rPr>
        <w:t xml:space="preserve"> pre-review side events (</w:t>
      </w:r>
      <w:proofErr w:type="spellStart"/>
      <w:r w:rsidR="005234BE" w:rsidRPr="007102CB">
        <w:rPr>
          <w:rFonts w:ascii="Times New Roman" w:eastAsia="Calibri" w:hAnsi="Times New Roman" w:cs="Times New Roman"/>
        </w:rPr>
        <w:t>i</w:t>
      </w:r>
      <w:proofErr w:type="spellEnd"/>
      <w:r w:rsidR="005234BE" w:rsidRPr="007102CB">
        <w:rPr>
          <w:rFonts w:ascii="Times New Roman" w:eastAsia="Calibri" w:hAnsi="Times New Roman" w:cs="Times New Roman"/>
        </w:rPr>
        <w:t>)</w:t>
      </w:r>
      <w:r w:rsidR="32BA3FC2" w:rsidRPr="007102CB">
        <w:rPr>
          <w:rFonts w:ascii="Times New Roman" w:eastAsia="Calibri" w:hAnsi="Times New Roman" w:cs="Times New Roman"/>
        </w:rPr>
        <w:t xml:space="preserve"> increase the capacity of national NGOs to effectively lobby states, </w:t>
      </w:r>
      <w:r w:rsidR="005234BE" w:rsidRPr="007102CB">
        <w:rPr>
          <w:rFonts w:ascii="Times New Roman" w:eastAsia="Calibri" w:hAnsi="Times New Roman" w:cs="Times New Roman"/>
        </w:rPr>
        <w:t xml:space="preserve">(ii) </w:t>
      </w:r>
      <w:r w:rsidR="32BA3FC2" w:rsidRPr="007102CB">
        <w:rPr>
          <w:rFonts w:ascii="Times New Roman" w:eastAsia="Calibri" w:hAnsi="Times New Roman" w:cs="Times New Roman"/>
        </w:rPr>
        <w:t>bolster the legitimacy of the causes advocated for by both national NGOs and INGOS</w:t>
      </w:r>
      <w:r w:rsidR="005234BE" w:rsidRPr="007102CB">
        <w:rPr>
          <w:rFonts w:ascii="Times New Roman" w:eastAsia="Calibri" w:hAnsi="Times New Roman" w:cs="Times New Roman"/>
        </w:rPr>
        <w:t>,</w:t>
      </w:r>
      <w:r w:rsidR="32BA3FC2" w:rsidRPr="007102CB">
        <w:rPr>
          <w:rFonts w:ascii="Times New Roman" w:eastAsia="Calibri" w:hAnsi="Times New Roman" w:cs="Times New Roman"/>
        </w:rPr>
        <w:t xml:space="preserve"> and </w:t>
      </w:r>
      <w:r w:rsidR="005234BE" w:rsidRPr="007102CB">
        <w:rPr>
          <w:rFonts w:ascii="Times New Roman" w:eastAsia="Calibri" w:hAnsi="Times New Roman" w:cs="Times New Roman"/>
        </w:rPr>
        <w:t xml:space="preserve">(iii) </w:t>
      </w:r>
      <w:r w:rsidR="32BA3FC2" w:rsidRPr="007102CB">
        <w:rPr>
          <w:rFonts w:ascii="Times New Roman" w:eastAsia="Calibri" w:hAnsi="Times New Roman" w:cs="Times New Roman"/>
        </w:rPr>
        <w:t>facilitate networking and relationship-building between all stakeholders involved.</w:t>
      </w:r>
      <w:r w:rsidR="00C71211">
        <w:rPr>
          <w:rStyle w:val="FootnoteReference"/>
          <w:rFonts w:ascii="Times New Roman" w:eastAsia="Calibri" w:hAnsi="Times New Roman" w:cs="Times New Roman"/>
        </w:rPr>
        <w:footnoteReference w:id="26"/>
      </w:r>
      <w:r w:rsidR="32BA3FC2" w:rsidRPr="007102CB">
        <w:rPr>
          <w:rFonts w:ascii="Times New Roman" w:eastAsia="Calibri" w:hAnsi="Times New Roman" w:cs="Times New Roman"/>
        </w:rPr>
        <w:t xml:space="preserve"> </w:t>
      </w:r>
      <w:r w:rsidR="00DB3543" w:rsidRPr="007102CB">
        <w:rPr>
          <w:rFonts w:ascii="Times New Roman" w:eastAsia="Calibri" w:hAnsi="Times New Roman" w:cs="Times New Roman"/>
        </w:rPr>
        <w:t xml:space="preserve">The voices </w:t>
      </w:r>
      <w:r w:rsidR="0016758D" w:rsidRPr="007102CB">
        <w:rPr>
          <w:rFonts w:ascii="Times New Roman" w:eastAsia="Calibri" w:hAnsi="Times New Roman" w:cs="Times New Roman"/>
        </w:rPr>
        <w:t xml:space="preserve">of domestic </w:t>
      </w:r>
      <w:r w:rsidR="0016758D" w:rsidRPr="007102CB">
        <w:rPr>
          <w:rFonts w:ascii="Times New Roman" w:eastAsia="Calibri" w:hAnsi="Times New Roman" w:cs="Times New Roman"/>
        </w:rPr>
        <w:lastRenderedPageBreak/>
        <w:t>NGOs are prioritised during these side events</w:t>
      </w:r>
      <w:r w:rsidR="0011406B" w:rsidRPr="007102CB">
        <w:rPr>
          <w:rFonts w:ascii="Times New Roman" w:eastAsia="Calibri" w:hAnsi="Times New Roman" w:cs="Times New Roman"/>
        </w:rPr>
        <w:t xml:space="preserve"> as </w:t>
      </w:r>
      <w:r w:rsidR="32BA3FC2" w:rsidRPr="007102CB">
        <w:rPr>
          <w:rFonts w:ascii="Times New Roman" w:eastAsia="Calibri" w:hAnsi="Times New Roman" w:cs="Times New Roman"/>
        </w:rPr>
        <w:t>UPR Info particularly give</w:t>
      </w:r>
      <w:r w:rsidR="00143CD3" w:rsidRPr="007102CB">
        <w:rPr>
          <w:rFonts w:ascii="Times New Roman" w:eastAsia="Calibri" w:hAnsi="Times New Roman" w:cs="Times New Roman"/>
        </w:rPr>
        <w:t>s</w:t>
      </w:r>
      <w:r w:rsidR="32BA3FC2" w:rsidRPr="007102CB">
        <w:rPr>
          <w:rFonts w:ascii="Times New Roman" w:eastAsia="Calibri" w:hAnsi="Times New Roman" w:cs="Times New Roman"/>
        </w:rPr>
        <w:t xml:space="preserve"> </w:t>
      </w:r>
      <w:r w:rsidR="0011406B" w:rsidRPr="007102CB">
        <w:rPr>
          <w:rFonts w:ascii="Times New Roman" w:eastAsia="Calibri" w:hAnsi="Times New Roman" w:cs="Times New Roman"/>
        </w:rPr>
        <w:t xml:space="preserve">speaking priority </w:t>
      </w:r>
      <w:r w:rsidR="32BA3FC2" w:rsidRPr="007102CB">
        <w:rPr>
          <w:rFonts w:ascii="Times New Roman" w:eastAsia="Calibri" w:hAnsi="Times New Roman" w:cs="Times New Roman"/>
        </w:rPr>
        <w:t xml:space="preserve">to national organisations for their on the ground knowledge, </w:t>
      </w:r>
      <w:r w:rsidR="00D86C21" w:rsidRPr="007102CB">
        <w:rPr>
          <w:rFonts w:ascii="Times New Roman" w:eastAsia="Calibri" w:hAnsi="Times New Roman" w:cs="Times New Roman"/>
        </w:rPr>
        <w:t xml:space="preserve">to </w:t>
      </w:r>
      <w:r w:rsidR="32BA3FC2" w:rsidRPr="007102CB">
        <w:rPr>
          <w:rFonts w:ascii="Times New Roman" w:eastAsia="Calibri" w:hAnsi="Times New Roman" w:cs="Times New Roman"/>
        </w:rPr>
        <w:t xml:space="preserve">organisations that have submitted reports during the cycle, and </w:t>
      </w:r>
      <w:r w:rsidR="00D86C21" w:rsidRPr="007102CB">
        <w:rPr>
          <w:rFonts w:ascii="Times New Roman" w:eastAsia="Calibri" w:hAnsi="Times New Roman" w:cs="Times New Roman"/>
        </w:rPr>
        <w:t xml:space="preserve">to </w:t>
      </w:r>
      <w:r w:rsidR="32BA3FC2" w:rsidRPr="007102CB">
        <w:rPr>
          <w:rFonts w:ascii="Times New Roman" w:eastAsia="Calibri" w:hAnsi="Times New Roman" w:cs="Times New Roman"/>
        </w:rPr>
        <w:t xml:space="preserve">national coalitions and organisations </w:t>
      </w:r>
      <w:r w:rsidR="79DD325A" w:rsidRPr="007102CB">
        <w:rPr>
          <w:rFonts w:ascii="Times New Roman" w:eastAsia="Calibri" w:hAnsi="Times New Roman" w:cs="Times New Roman"/>
        </w:rPr>
        <w:t>representing</w:t>
      </w:r>
      <w:r w:rsidR="32BA3FC2" w:rsidRPr="007102CB">
        <w:rPr>
          <w:rFonts w:ascii="Times New Roman" w:eastAsia="Calibri" w:hAnsi="Times New Roman" w:cs="Times New Roman"/>
        </w:rPr>
        <w:t xml:space="preserve"> diverse human rights issues for their breadth of knowledge.</w:t>
      </w:r>
      <w:r w:rsidR="0090389C">
        <w:rPr>
          <w:rStyle w:val="FootnoteReference"/>
          <w:rFonts w:ascii="Times New Roman" w:eastAsia="Calibri" w:hAnsi="Times New Roman" w:cs="Times New Roman"/>
        </w:rPr>
        <w:footnoteReference w:id="27"/>
      </w:r>
      <w:r w:rsidR="32BA3FC2" w:rsidRPr="007102CB">
        <w:rPr>
          <w:rFonts w:ascii="Times New Roman" w:eastAsia="Calibri" w:hAnsi="Times New Roman" w:cs="Times New Roman"/>
        </w:rPr>
        <w:t xml:space="preserve"> </w:t>
      </w:r>
      <w:r w:rsidR="00181DD8" w:rsidRPr="007102CB">
        <w:rPr>
          <w:rFonts w:ascii="Times New Roman" w:eastAsia="Calibri" w:hAnsi="Times New Roman" w:cs="Times New Roman"/>
        </w:rPr>
        <w:t>T</w:t>
      </w:r>
      <w:r w:rsidR="32BA3FC2" w:rsidRPr="007102CB">
        <w:rPr>
          <w:rFonts w:ascii="Times New Roman" w:eastAsia="Calibri" w:hAnsi="Times New Roman" w:cs="Times New Roman"/>
        </w:rPr>
        <w:t>he State</w:t>
      </w:r>
      <w:r w:rsidR="0086304F" w:rsidRPr="007102CB">
        <w:rPr>
          <w:rFonts w:ascii="Times New Roman" w:eastAsia="Calibri" w:hAnsi="Times New Roman" w:cs="Times New Roman"/>
        </w:rPr>
        <w:t xml:space="preserve">s to be reviewed </w:t>
      </w:r>
      <w:r w:rsidR="1F5A34C1" w:rsidRPr="007102CB">
        <w:rPr>
          <w:rFonts w:ascii="Times New Roman" w:eastAsia="Calibri" w:hAnsi="Times New Roman" w:cs="Times New Roman"/>
        </w:rPr>
        <w:t>may only listen to</w:t>
      </w:r>
      <w:r w:rsidR="0086304F" w:rsidRPr="007102CB">
        <w:rPr>
          <w:rFonts w:ascii="Times New Roman" w:eastAsia="Calibri" w:hAnsi="Times New Roman" w:cs="Times New Roman"/>
        </w:rPr>
        <w:t xml:space="preserve"> participants during these side events and are</w:t>
      </w:r>
      <w:r w:rsidR="32BA3FC2" w:rsidRPr="007102CB">
        <w:rPr>
          <w:rFonts w:ascii="Times New Roman" w:eastAsia="Calibri" w:hAnsi="Times New Roman" w:cs="Times New Roman"/>
        </w:rPr>
        <w:t xml:space="preserve"> neither permitted to ask panellists questions, nor can they comment on presentations that have been made</w:t>
      </w:r>
      <w:r w:rsidR="0086304F" w:rsidRPr="007102CB">
        <w:rPr>
          <w:rFonts w:ascii="Times New Roman" w:eastAsia="Calibri" w:hAnsi="Times New Roman" w:cs="Times New Roman"/>
        </w:rPr>
        <w:t>.</w:t>
      </w:r>
      <w:r w:rsidR="32BA3FC2" w:rsidRPr="007102CB">
        <w:rPr>
          <w:rFonts w:ascii="Times New Roman" w:eastAsia="Calibri" w:hAnsi="Times New Roman" w:cs="Times New Roman"/>
        </w:rPr>
        <w:t xml:space="preserve"> </w:t>
      </w:r>
      <w:r w:rsidR="0086304F" w:rsidRPr="007102CB">
        <w:rPr>
          <w:rFonts w:ascii="Times New Roman" w:eastAsia="Calibri" w:hAnsi="Times New Roman" w:cs="Times New Roman"/>
        </w:rPr>
        <w:t>T</w:t>
      </w:r>
      <w:r w:rsidR="32BA3FC2" w:rsidRPr="007102CB">
        <w:rPr>
          <w:rFonts w:ascii="Times New Roman" w:eastAsia="Calibri" w:hAnsi="Times New Roman" w:cs="Times New Roman"/>
        </w:rPr>
        <w:t>he</w:t>
      </w:r>
      <w:r w:rsidR="0086304F" w:rsidRPr="007102CB">
        <w:rPr>
          <w:rFonts w:ascii="Times New Roman" w:eastAsia="Calibri" w:hAnsi="Times New Roman" w:cs="Times New Roman"/>
        </w:rPr>
        <w:t>ir participation is</w:t>
      </w:r>
      <w:r w:rsidR="32BA3FC2" w:rsidRPr="007102CB">
        <w:rPr>
          <w:rFonts w:ascii="Times New Roman" w:eastAsia="Calibri" w:hAnsi="Times New Roman" w:cs="Times New Roman"/>
        </w:rPr>
        <w:t xml:space="preserve"> restricted to a brief presentation of progress and challenges on implementation of recommendations made at the previous review.</w:t>
      </w:r>
      <w:r w:rsidR="007A5E3A">
        <w:rPr>
          <w:rStyle w:val="FootnoteReference"/>
          <w:rFonts w:ascii="Times New Roman" w:eastAsia="Calibri" w:hAnsi="Times New Roman" w:cs="Times New Roman"/>
        </w:rPr>
        <w:footnoteReference w:id="28"/>
      </w:r>
      <w:r w:rsidR="32BA3FC2" w:rsidRPr="007102CB">
        <w:rPr>
          <w:rFonts w:ascii="Times New Roman" w:eastAsia="Calibri" w:hAnsi="Times New Roman" w:cs="Times New Roman"/>
        </w:rPr>
        <w:t xml:space="preserve"> Hence, the pre-review sessions present a multifaceted mechanism by which NGO </w:t>
      </w:r>
      <w:r w:rsidR="00217B7D" w:rsidRPr="007102CB">
        <w:rPr>
          <w:rFonts w:ascii="Times New Roman" w:eastAsia="Calibri" w:hAnsi="Times New Roman" w:cs="Times New Roman"/>
        </w:rPr>
        <w:t>contributions and</w:t>
      </w:r>
      <w:r w:rsidR="32BA3FC2" w:rsidRPr="007102CB">
        <w:rPr>
          <w:rFonts w:ascii="Times New Roman" w:eastAsia="Calibri" w:hAnsi="Times New Roman" w:cs="Times New Roman"/>
        </w:rPr>
        <w:t xml:space="preserve"> recommendations can be </w:t>
      </w:r>
      <w:r w:rsidR="414D6831" w:rsidRPr="007102CB">
        <w:rPr>
          <w:rFonts w:ascii="Times New Roman" w:eastAsia="Calibri" w:hAnsi="Times New Roman" w:cs="Times New Roman"/>
        </w:rPr>
        <w:t xml:space="preserve">spotlighted and </w:t>
      </w:r>
      <w:r w:rsidR="32BA3FC2" w:rsidRPr="007102CB">
        <w:rPr>
          <w:rFonts w:ascii="Times New Roman" w:eastAsia="Calibri" w:hAnsi="Times New Roman" w:cs="Times New Roman"/>
        </w:rPr>
        <w:t xml:space="preserve">optimised. </w:t>
      </w:r>
    </w:p>
    <w:p w14:paraId="20A0630B" w14:textId="6B33D3E3" w:rsidR="3ACA218E" w:rsidRPr="007102CB" w:rsidRDefault="0095437B" w:rsidP="309CE6D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Notwithstanding</w:t>
      </w:r>
      <w:r w:rsidR="32BA3FC2" w:rsidRPr="007102CB">
        <w:rPr>
          <w:rFonts w:ascii="Times New Roman" w:eastAsia="Calibri" w:hAnsi="Times New Roman" w:cs="Times New Roman"/>
        </w:rPr>
        <w:t>, the potential impact of these pre-</w:t>
      </w:r>
      <w:r w:rsidR="111C2824" w:rsidRPr="007102CB">
        <w:rPr>
          <w:rFonts w:ascii="Times New Roman" w:eastAsia="Calibri" w:hAnsi="Times New Roman" w:cs="Times New Roman"/>
        </w:rPr>
        <w:t>review</w:t>
      </w:r>
      <w:r w:rsidR="32BA3FC2" w:rsidRPr="007102CB">
        <w:rPr>
          <w:rFonts w:ascii="Times New Roman" w:eastAsia="Calibri" w:hAnsi="Times New Roman" w:cs="Times New Roman"/>
        </w:rPr>
        <w:t xml:space="preserve"> side events is naturally subject to limitations. There are various limitations which may pr</w:t>
      </w:r>
      <w:r w:rsidR="2DDC62A6" w:rsidRPr="007102CB">
        <w:rPr>
          <w:rFonts w:ascii="Times New Roman" w:eastAsia="Calibri" w:hAnsi="Times New Roman" w:cs="Times New Roman"/>
        </w:rPr>
        <w:t>eclude</w:t>
      </w:r>
      <w:r w:rsidR="32BA3FC2" w:rsidRPr="007102CB">
        <w:rPr>
          <w:rFonts w:ascii="Times New Roman" w:eastAsia="Calibri" w:hAnsi="Times New Roman" w:cs="Times New Roman"/>
        </w:rPr>
        <w:t xml:space="preserve"> the attendance of smaller and domestic NGOs from participating in the sessions. For example, limited funding of domestic NGOs often prevents travel to Geneva and participation in the sessions.</w:t>
      </w:r>
      <w:r w:rsidR="04977BCF" w:rsidRPr="007102CB">
        <w:rPr>
          <w:rFonts w:ascii="Times New Roman" w:eastAsia="Calibri" w:hAnsi="Times New Roman" w:cs="Times New Roman"/>
        </w:rPr>
        <w:t xml:space="preserve"> </w:t>
      </w:r>
      <w:r w:rsidR="4640AC59" w:rsidRPr="007102CB">
        <w:rPr>
          <w:rFonts w:ascii="Times New Roman" w:eastAsia="Calibri" w:hAnsi="Times New Roman" w:cs="Times New Roman"/>
        </w:rPr>
        <w:t xml:space="preserve">This was one of the </w:t>
      </w:r>
      <w:r w:rsidR="4561651B" w:rsidRPr="007102CB">
        <w:rPr>
          <w:rFonts w:ascii="Times New Roman" w:eastAsia="Calibri" w:hAnsi="Times New Roman" w:cs="Times New Roman"/>
        </w:rPr>
        <w:t xml:space="preserve">major issues </w:t>
      </w:r>
      <w:r w:rsidR="591722E6" w:rsidRPr="007102CB">
        <w:rPr>
          <w:rFonts w:ascii="Times New Roman" w:eastAsia="Calibri" w:hAnsi="Times New Roman" w:cs="Times New Roman"/>
        </w:rPr>
        <w:t>captured</w:t>
      </w:r>
      <w:r w:rsidR="4561651B" w:rsidRPr="007102CB">
        <w:rPr>
          <w:rFonts w:ascii="Times New Roman" w:eastAsia="Calibri" w:hAnsi="Times New Roman" w:cs="Times New Roman"/>
        </w:rPr>
        <w:t xml:space="preserve"> by Storey and </w:t>
      </w:r>
      <w:r w:rsidR="00044977" w:rsidRPr="007102CB">
        <w:rPr>
          <w:rFonts w:ascii="Times New Roman" w:eastAsia="Calibri" w:hAnsi="Times New Roman" w:cs="Times New Roman"/>
        </w:rPr>
        <w:t>Oleschuk</w:t>
      </w:r>
      <w:r w:rsidR="4561651B" w:rsidRPr="007102CB">
        <w:rPr>
          <w:rFonts w:ascii="Times New Roman" w:eastAsia="Calibri" w:hAnsi="Times New Roman" w:cs="Times New Roman"/>
        </w:rPr>
        <w:t xml:space="preserve"> </w:t>
      </w:r>
      <w:r w:rsidR="08FDA3A5" w:rsidRPr="007102CB">
        <w:rPr>
          <w:rFonts w:ascii="Times New Roman" w:eastAsia="Calibri" w:hAnsi="Times New Roman" w:cs="Times New Roman"/>
        </w:rPr>
        <w:t>in their empirical study, where se</w:t>
      </w:r>
      <w:r w:rsidR="591722E6" w:rsidRPr="007102CB">
        <w:rPr>
          <w:rFonts w:ascii="Times New Roman" w:eastAsia="Calibri" w:hAnsi="Times New Roman" w:cs="Times New Roman"/>
        </w:rPr>
        <w:t xml:space="preserve">veral participants </w:t>
      </w:r>
      <w:r w:rsidR="76D3C647" w:rsidRPr="007102CB">
        <w:rPr>
          <w:rFonts w:ascii="Times New Roman" w:eastAsia="Calibri" w:hAnsi="Times New Roman" w:cs="Times New Roman"/>
        </w:rPr>
        <w:t>noted the financial cost of travelling to Geneva as an impediment</w:t>
      </w:r>
      <w:r w:rsidR="008B6855" w:rsidRPr="007102CB">
        <w:rPr>
          <w:rFonts w:ascii="Times New Roman" w:eastAsia="Calibri" w:hAnsi="Times New Roman" w:cs="Times New Roman"/>
        </w:rPr>
        <w:t>.</w:t>
      </w:r>
      <w:r w:rsidR="007E7B38">
        <w:rPr>
          <w:rStyle w:val="FootnoteReference"/>
          <w:rFonts w:ascii="Times New Roman" w:eastAsia="Calibri" w:hAnsi="Times New Roman" w:cs="Times New Roman"/>
        </w:rPr>
        <w:footnoteReference w:id="29"/>
      </w:r>
      <w:r w:rsidR="591722E6" w:rsidRPr="007102CB">
        <w:rPr>
          <w:rFonts w:ascii="Times New Roman" w:eastAsia="Calibri" w:hAnsi="Times New Roman" w:cs="Times New Roman"/>
        </w:rPr>
        <w:t xml:space="preserve"> </w:t>
      </w:r>
      <w:r w:rsidR="69B7A283" w:rsidRPr="007102CB">
        <w:rPr>
          <w:rFonts w:ascii="Times New Roman" w:eastAsia="Calibri" w:hAnsi="Times New Roman" w:cs="Times New Roman"/>
        </w:rPr>
        <w:t>This financial impediment is great</w:t>
      </w:r>
      <w:r w:rsidR="008B6855" w:rsidRPr="007102CB">
        <w:rPr>
          <w:rFonts w:ascii="Times New Roman" w:eastAsia="Calibri" w:hAnsi="Times New Roman" w:cs="Times New Roman"/>
        </w:rPr>
        <w:t>er</w:t>
      </w:r>
      <w:r w:rsidR="69B7A283" w:rsidRPr="007102CB">
        <w:rPr>
          <w:rFonts w:ascii="Times New Roman" w:eastAsia="Calibri" w:hAnsi="Times New Roman" w:cs="Times New Roman"/>
        </w:rPr>
        <w:t xml:space="preserve"> for smaller</w:t>
      </w:r>
      <w:r w:rsidR="32BA3FC2" w:rsidRPr="007102CB">
        <w:rPr>
          <w:rFonts w:ascii="Times New Roman" w:eastAsia="Calibri" w:hAnsi="Times New Roman" w:cs="Times New Roman"/>
        </w:rPr>
        <w:t xml:space="preserve"> NGO participation</w:t>
      </w:r>
      <w:r w:rsidR="008B6855" w:rsidRPr="007102CB">
        <w:rPr>
          <w:rFonts w:ascii="Times New Roman" w:eastAsia="Calibri" w:hAnsi="Times New Roman" w:cs="Times New Roman"/>
        </w:rPr>
        <w:t>,</w:t>
      </w:r>
      <w:r w:rsidR="32BA3FC2" w:rsidRPr="007102CB">
        <w:rPr>
          <w:rFonts w:ascii="Times New Roman" w:eastAsia="Calibri" w:hAnsi="Times New Roman" w:cs="Times New Roman"/>
        </w:rPr>
        <w:t xml:space="preserve"> </w:t>
      </w:r>
      <w:r w:rsidR="3983AA8A" w:rsidRPr="007102CB">
        <w:rPr>
          <w:rFonts w:ascii="Times New Roman" w:eastAsia="Calibri" w:hAnsi="Times New Roman" w:cs="Times New Roman"/>
        </w:rPr>
        <w:t xml:space="preserve">and consequently </w:t>
      </w:r>
      <w:r w:rsidR="32BA3FC2" w:rsidRPr="007102CB">
        <w:rPr>
          <w:rFonts w:ascii="Times New Roman" w:eastAsia="Calibri" w:hAnsi="Times New Roman" w:cs="Times New Roman"/>
        </w:rPr>
        <w:t xml:space="preserve">larger NGOs </w:t>
      </w:r>
      <w:r w:rsidR="3983AA8A" w:rsidRPr="007102CB">
        <w:rPr>
          <w:rFonts w:ascii="Times New Roman" w:eastAsia="Calibri" w:hAnsi="Times New Roman" w:cs="Times New Roman"/>
        </w:rPr>
        <w:t>wi</w:t>
      </w:r>
      <w:r w:rsidR="000E0606" w:rsidRPr="007102CB">
        <w:rPr>
          <w:rFonts w:ascii="Times New Roman" w:eastAsia="Calibri" w:hAnsi="Times New Roman" w:cs="Times New Roman"/>
        </w:rPr>
        <w:t>th</w:t>
      </w:r>
      <w:r w:rsidR="3983AA8A" w:rsidRPr="007102CB">
        <w:rPr>
          <w:rFonts w:ascii="Times New Roman" w:eastAsia="Calibri" w:hAnsi="Times New Roman" w:cs="Times New Roman"/>
        </w:rPr>
        <w:t xml:space="preserve"> </w:t>
      </w:r>
      <w:r w:rsidR="000E0606" w:rsidRPr="007102CB">
        <w:rPr>
          <w:rFonts w:ascii="Times New Roman" w:eastAsia="Calibri" w:hAnsi="Times New Roman" w:cs="Times New Roman"/>
        </w:rPr>
        <w:t>more</w:t>
      </w:r>
      <w:r w:rsidR="3983AA8A" w:rsidRPr="007102CB">
        <w:rPr>
          <w:rFonts w:ascii="Times New Roman" w:eastAsia="Calibri" w:hAnsi="Times New Roman" w:cs="Times New Roman"/>
        </w:rPr>
        <w:t xml:space="preserve"> access to funding tend to dominate the</w:t>
      </w:r>
      <w:r w:rsidR="32BA3FC2" w:rsidRPr="007102CB">
        <w:rPr>
          <w:rFonts w:ascii="Times New Roman" w:eastAsia="Calibri" w:hAnsi="Times New Roman" w:cs="Times New Roman"/>
        </w:rPr>
        <w:t xml:space="preserve"> advocacy space </w:t>
      </w:r>
      <w:r w:rsidR="3983AA8A" w:rsidRPr="007102CB">
        <w:rPr>
          <w:rFonts w:ascii="Times New Roman" w:eastAsia="Calibri" w:hAnsi="Times New Roman" w:cs="Times New Roman"/>
        </w:rPr>
        <w:t>with their agenda</w:t>
      </w:r>
      <w:r w:rsidR="5B0CDF51" w:rsidRPr="007102CB">
        <w:rPr>
          <w:rFonts w:ascii="Times New Roman" w:eastAsia="Calibri" w:hAnsi="Times New Roman" w:cs="Times New Roman"/>
        </w:rPr>
        <w:t xml:space="preserve">, </w:t>
      </w:r>
      <w:r w:rsidR="32BA3FC2" w:rsidRPr="007102CB">
        <w:rPr>
          <w:rFonts w:ascii="Times New Roman" w:eastAsia="Calibri" w:hAnsi="Times New Roman" w:cs="Times New Roman"/>
        </w:rPr>
        <w:t>diminishing the voices of smaller domestic NGOs</w:t>
      </w:r>
      <w:r w:rsidR="45F7E68B" w:rsidRPr="007102CB">
        <w:rPr>
          <w:rFonts w:ascii="Times New Roman" w:eastAsia="Calibri" w:hAnsi="Times New Roman" w:cs="Times New Roman"/>
        </w:rPr>
        <w:t xml:space="preserve"> an</w:t>
      </w:r>
      <w:r w:rsidR="5B0CDF51" w:rsidRPr="007102CB">
        <w:rPr>
          <w:rFonts w:ascii="Times New Roman" w:eastAsia="Calibri" w:hAnsi="Times New Roman" w:cs="Times New Roman"/>
        </w:rPr>
        <w:t xml:space="preserve">d resulting in </w:t>
      </w:r>
      <w:r w:rsidR="45F7E68B" w:rsidRPr="007102CB">
        <w:rPr>
          <w:rFonts w:ascii="Times New Roman" w:eastAsia="Calibri" w:hAnsi="Times New Roman" w:cs="Times New Roman"/>
        </w:rPr>
        <w:t>selective issue adoption</w:t>
      </w:r>
      <w:r w:rsidR="32BA3FC2" w:rsidRPr="007102CB">
        <w:rPr>
          <w:rFonts w:ascii="Times New Roman" w:eastAsia="Calibri" w:hAnsi="Times New Roman" w:cs="Times New Roman"/>
        </w:rPr>
        <w:t>.</w:t>
      </w:r>
      <w:r w:rsidR="38D6A051" w:rsidRPr="007102CB">
        <w:rPr>
          <w:rFonts w:ascii="Times New Roman" w:eastAsia="Calibri" w:hAnsi="Times New Roman" w:cs="Times New Roman"/>
        </w:rPr>
        <w:t xml:space="preserve"> </w:t>
      </w:r>
      <w:r w:rsidR="00521170" w:rsidRPr="007102CB">
        <w:rPr>
          <w:rFonts w:ascii="Times New Roman" w:eastAsia="Calibri" w:hAnsi="Times New Roman" w:cs="Times New Roman"/>
        </w:rPr>
        <w:t>Consequently</w:t>
      </w:r>
      <w:r w:rsidR="02E6603F" w:rsidRPr="007102CB">
        <w:rPr>
          <w:rFonts w:ascii="Times New Roman" w:eastAsia="Calibri" w:hAnsi="Times New Roman" w:cs="Times New Roman"/>
        </w:rPr>
        <w:t>, t</w:t>
      </w:r>
      <w:r w:rsidR="02E6603F" w:rsidRPr="007102CB">
        <w:rPr>
          <w:rFonts w:ascii="Times New Roman" w:hAnsi="Times New Roman" w:cs="Times New Roman"/>
        </w:rPr>
        <w:t>here is a concern not only that certain issues outside the interests of powerful international NGOs remain unaddressed, but that the inclusion of NGOs in human rights monitoring processes such as the UPR is elitist</w:t>
      </w:r>
      <w:r w:rsidR="00E71918" w:rsidRPr="007102CB">
        <w:rPr>
          <w:rFonts w:ascii="Times New Roman" w:hAnsi="Times New Roman" w:cs="Times New Roman"/>
        </w:rPr>
        <w:t>.</w:t>
      </w:r>
      <w:r w:rsidR="00D13E87">
        <w:rPr>
          <w:rStyle w:val="FootnoteReference"/>
          <w:rFonts w:ascii="Times New Roman" w:hAnsi="Times New Roman" w:cs="Times New Roman"/>
        </w:rPr>
        <w:footnoteReference w:id="30"/>
      </w:r>
      <w:r w:rsidR="02E6603F" w:rsidRPr="007102CB">
        <w:rPr>
          <w:rFonts w:ascii="Times New Roman" w:hAnsi="Times New Roman" w:cs="Times New Roman"/>
        </w:rPr>
        <w:t xml:space="preserve"> A further critique emanating from the global South is that these richer organisations often originate from Western states with a closer proximity Geneva.</w:t>
      </w:r>
      <w:r w:rsidR="00D13E87">
        <w:rPr>
          <w:rStyle w:val="FootnoteReference"/>
          <w:rFonts w:ascii="Times New Roman" w:hAnsi="Times New Roman" w:cs="Times New Roman"/>
        </w:rPr>
        <w:footnoteReference w:id="31"/>
      </w:r>
      <w:r w:rsidR="02E6603F" w:rsidRPr="007102CB">
        <w:rPr>
          <w:rFonts w:ascii="Times New Roman" w:hAnsi="Times New Roman" w:cs="Times New Roman"/>
        </w:rPr>
        <w:t xml:space="preserve"> </w:t>
      </w:r>
      <w:r w:rsidR="001838F9" w:rsidRPr="007102CB">
        <w:rPr>
          <w:rFonts w:ascii="Times New Roman" w:eastAsia="Calibri" w:hAnsi="Times New Roman" w:cs="Times New Roman"/>
        </w:rPr>
        <w:t>Selectivity on issue adoption further extends to claims that relate to classic Western liberal values.</w:t>
      </w:r>
      <w:r w:rsidR="003944EF">
        <w:rPr>
          <w:rStyle w:val="FootnoteReference"/>
          <w:rFonts w:ascii="Times New Roman" w:eastAsia="Calibri" w:hAnsi="Times New Roman" w:cs="Times New Roman"/>
        </w:rPr>
        <w:footnoteReference w:id="32"/>
      </w:r>
      <w:r w:rsidR="001838F9" w:rsidRPr="007102CB">
        <w:rPr>
          <w:rFonts w:ascii="Times New Roman" w:eastAsia="Calibri" w:hAnsi="Times New Roman" w:cs="Times New Roman"/>
        </w:rPr>
        <w:t xml:space="preserve"> NGOs are then deemed vectors of Western bias, that only seek to advance liberal notions of human rights, proliferating neo-colonialism, detached of the needs of those they claim to represent. </w:t>
      </w:r>
    </w:p>
    <w:p w14:paraId="57DD0702" w14:textId="2FD27D29" w:rsidR="3ACA218E" w:rsidRPr="007102CB" w:rsidRDefault="72996B49" w:rsidP="00770443">
      <w:pPr>
        <w:spacing w:before="100" w:beforeAutospacing="1" w:after="100" w:afterAutospacing="1" w:line="276" w:lineRule="auto"/>
        <w:jc w:val="both"/>
        <w:rPr>
          <w:rFonts w:ascii="Times New Roman" w:eastAsia="Calibri" w:hAnsi="Times New Roman" w:cs="Times New Roman"/>
          <w:lang w:val="en-AU"/>
        </w:rPr>
      </w:pPr>
      <w:proofErr w:type="spellStart"/>
      <w:r w:rsidRPr="007102CB">
        <w:rPr>
          <w:rFonts w:ascii="Times New Roman" w:hAnsi="Times New Roman" w:cs="Times New Roman"/>
        </w:rPr>
        <w:t>Bantekas</w:t>
      </w:r>
      <w:proofErr w:type="spellEnd"/>
      <w:r w:rsidRPr="007102CB">
        <w:rPr>
          <w:rFonts w:ascii="Times New Roman" w:hAnsi="Times New Roman" w:cs="Times New Roman"/>
        </w:rPr>
        <w:t xml:space="preserve"> and </w:t>
      </w:r>
      <w:proofErr w:type="spellStart"/>
      <w:r w:rsidRPr="007102CB">
        <w:rPr>
          <w:rFonts w:ascii="Times New Roman" w:hAnsi="Times New Roman" w:cs="Times New Roman"/>
        </w:rPr>
        <w:t>Oette</w:t>
      </w:r>
      <w:proofErr w:type="spellEnd"/>
      <w:r w:rsidR="00417DFC">
        <w:rPr>
          <w:rStyle w:val="FootnoteReference"/>
          <w:rFonts w:ascii="Times New Roman" w:hAnsi="Times New Roman" w:cs="Times New Roman"/>
        </w:rPr>
        <w:footnoteReference w:id="33"/>
      </w:r>
      <w:r w:rsidRPr="007102CB">
        <w:rPr>
          <w:rFonts w:ascii="Times New Roman" w:hAnsi="Times New Roman" w:cs="Times New Roman"/>
        </w:rPr>
        <w:t xml:space="preserve"> </w:t>
      </w:r>
      <w:r w:rsidR="4AB8A35F" w:rsidRPr="007102CB">
        <w:rPr>
          <w:rFonts w:ascii="Times New Roman" w:hAnsi="Times New Roman" w:cs="Times New Roman"/>
        </w:rPr>
        <w:t>recognise</w:t>
      </w:r>
      <w:r w:rsidRPr="007102CB">
        <w:rPr>
          <w:rFonts w:ascii="Times New Roman" w:hAnsi="Times New Roman" w:cs="Times New Roman"/>
        </w:rPr>
        <w:t xml:space="preserve"> that </w:t>
      </w:r>
      <w:r w:rsidR="545A7C7E" w:rsidRPr="007102CB">
        <w:rPr>
          <w:rFonts w:ascii="Times New Roman" w:hAnsi="Times New Roman" w:cs="Times New Roman"/>
        </w:rPr>
        <w:t>better resource</w:t>
      </w:r>
      <w:r w:rsidR="542E8E8B" w:rsidRPr="007102CB">
        <w:rPr>
          <w:rFonts w:ascii="Times New Roman" w:hAnsi="Times New Roman" w:cs="Times New Roman"/>
        </w:rPr>
        <w:t>d</w:t>
      </w:r>
      <w:r w:rsidR="545A7C7E" w:rsidRPr="007102CB">
        <w:rPr>
          <w:rFonts w:ascii="Times New Roman" w:hAnsi="Times New Roman" w:cs="Times New Roman"/>
        </w:rPr>
        <w:t xml:space="preserve"> </w:t>
      </w:r>
      <w:r w:rsidRPr="007102CB">
        <w:rPr>
          <w:rFonts w:ascii="Times New Roman" w:hAnsi="Times New Roman" w:cs="Times New Roman"/>
        </w:rPr>
        <w:t>Western INGOs still dominate the international stage</w:t>
      </w:r>
      <w:r w:rsidR="1D4C9C2C" w:rsidRPr="007102CB">
        <w:rPr>
          <w:rFonts w:ascii="Times New Roman" w:hAnsi="Times New Roman" w:cs="Times New Roman"/>
        </w:rPr>
        <w:t xml:space="preserve">. </w:t>
      </w:r>
      <w:r w:rsidRPr="007102CB">
        <w:rPr>
          <w:rFonts w:ascii="Times New Roman" w:hAnsi="Times New Roman" w:cs="Times New Roman"/>
        </w:rPr>
        <w:t xml:space="preserve">However, </w:t>
      </w:r>
      <w:r w:rsidR="16E70BC2" w:rsidRPr="007102CB">
        <w:rPr>
          <w:rFonts w:ascii="Times New Roman" w:hAnsi="Times New Roman" w:cs="Times New Roman"/>
        </w:rPr>
        <w:t xml:space="preserve">they </w:t>
      </w:r>
      <w:r w:rsidRPr="007102CB">
        <w:rPr>
          <w:rFonts w:ascii="Times New Roman" w:hAnsi="Times New Roman" w:cs="Times New Roman"/>
        </w:rPr>
        <w:t>pr</w:t>
      </w:r>
      <w:r w:rsidR="70CD1EC0" w:rsidRPr="007102CB">
        <w:rPr>
          <w:rFonts w:ascii="Times New Roman" w:hAnsi="Times New Roman" w:cs="Times New Roman"/>
        </w:rPr>
        <w:t>agmatically put forth that</w:t>
      </w:r>
      <w:r w:rsidRPr="007102CB">
        <w:rPr>
          <w:rFonts w:ascii="Times New Roman" w:hAnsi="Times New Roman" w:cs="Times New Roman"/>
        </w:rPr>
        <w:t xml:space="preserve"> what is needed is not </w:t>
      </w:r>
      <w:r w:rsidR="3A18A735" w:rsidRPr="007102CB">
        <w:rPr>
          <w:rFonts w:ascii="Times New Roman" w:hAnsi="Times New Roman" w:cs="Times New Roman"/>
        </w:rPr>
        <w:t>their erasure</w:t>
      </w:r>
      <w:r w:rsidRPr="007102CB">
        <w:rPr>
          <w:rFonts w:ascii="Times New Roman" w:hAnsi="Times New Roman" w:cs="Times New Roman"/>
        </w:rPr>
        <w:t xml:space="preserve">, but a </w:t>
      </w:r>
      <w:r w:rsidR="00353ACA" w:rsidRPr="007102CB">
        <w:rPr>
          <w:rFonts w:ascii="Times New Roman" w:hAnsi="Times New Roman" w:cs="Times New Roman"/>
        </w:rPr>
        <w:t>self-</w:t>
      </w:r>
      <w:r w:rsidRPr="007102CB">
        <w:rPr>
          <w:rFonts w:ascii="Times New Roman" w:hAnsi="Times New Roman" w:cs="Times New Roman"/>
        </w:rPr>
        <w:t xml:space="preserve">reflective practice of how to best utilise their value based on </w:t>
      </w:r>
      <w:r w:rsidR="2A9D3AF4" w:rsidRPr="007102CB">
        <w:rPr>
          <w:rFonts w:ascii="Times New Roman" w:hAnsi="Times New Roman" w:cs="Times New Roman"/>
        </w:rPr>
        <w:t>’</w:t>
      </w:r>
      <w:r w:rsidRPr="007102CB">
        <w:rPr>
          <w:rFonts w:ascii="Times New Roman" w:hAnsi="Times New Roman" w:cs="Times New Roman"/>
        </w:rPr>
        <w:t xml:space="preserve">a spirit of mutual respect and </w:t>
      </w:r>
      <w:r w:rsidR="1DAEAAB6" w:rsidRPr="007102CB">
        <w:rPr>
          <w:rFonts w:ascii="Times New Roman" w:hAnsi="Times New Roman" w:cs="Times New Roman"/>
        </w:rPr>
        <w:t>solidarity’</w:t>
      </w:r>
      <w:r w:rsidR="004A63C5">
        <w:rPr>
          <w:rFonts w:ascii="Times New Roman" w:hAnsi="Times New Roman" w:cs="Times New Roman"/>
        </w:rPr>
        <w:t>.</w:t>
      </w:r>
      <w:r w:rsidR="004A63C5">
        <w:rPr>
          <w:rStyle w:val="FootnoteReference"/>
          <w:rFonts w:ascii="Times New Roman" w:hAnsi="Times New Roman" w:cs="Times New Roman"/>
        </w:rPr>
        <w:footnoteReference w:id="34"/>
      </w:r>
      <w:r w:rsidR="00353ACA" w:rsidRPr="007102CB">
        <w:rPr>
          <w:rFonts w:ascii="Times New Roman" w:hAnsi="Times New Roman" w:cs="Times New Roman"/>
        </w:rPr>
        <w:t xml:space="preserve"> </w:t>
      </w:r>
      <w:r w:rsidRPr="007102CB">
        <w:rPr>
          <w:rFonts w:ascii="Times New Roman" w:hAnsi="Times New Roman" w:cs="Times New Roman"/>
        </w:rPr>
        <w:t xml:space="preserve">In practice, </w:t>
      </w:r>
      <w:r w:rsidR="11C779FA" w:rsidRPr="007102CB">
        <w:rPr>
          <w:rFonts w:ascii="Times New Roman" w:hAnsi="Times New Roman" w:cs="Times New Roman"/>
        </w:rPr>
        <w:t xml:space="preserve">this takes shape in the UPR through </w:t>
      </w:r>
      <w:r w:rsidR="0045656F" w:rsidRPr="007102CB">
        <w:rPr>
          <w:rFonts w:ascii="Times New Roman" w:hAnsi="Times New Roman" w:cs="Times New Roman"/>
        </w:rPr>
        <w:t>the forma</w:t>
      </w:r>
      <w:r w:rsidR="0097206D" w:rsidRPr="007102CB">
        <w:rPr>
          <w:rFonts w:ascii="Times New Roman" w:hAnsi="Times New Roman" w:cs="Times New Roman"/>
        </w:rPr>
        <w:t xml:space="preserve">tion of UPR </w:t>
      </w:r>
      <w:r w:rsidR="11C779FA" w:rsidRPr="007102CB">
        <w:rPr>
          <w:rFonts w:ascii="Times New Roman" w:hAnsi="Times New Roman" w:cs="Times New Roman"/>
        </w:rPr>
        <w:t>coalitions</w:t>
      </w:r>
      <w:r w:rsidR="0097206D" w:rsidRPr="007102CB">
        <w:rPr>
          <w:rFonts w:ascii="Times New Roman" w:hAnsi="Times New Roman" w:cs="Times New Roman"/>
        </w:rPr>
        <w:t xml:space="preserve"> with domestic NGOs</w:t>
      </w:r>
      <w:r w:rsidR="11C779FA" w:rsidRPr="007102CB">
        <w:rPr>
          <w:rFonts w:ascii="Times New Roman" w:hAnsi="Times New Roman" w:cs="Times New Roman"/>
        </w:rPr>
        <w:t xml:space="preserve">, the fruits of these partnerships being </w:t>
      </w:r>
      <w:r w:rsidR="6970BAAF" w:rsidRPr="007102CB">
        <w:rPr>
          <w:rFonts w:ascii="Times New Roman" w:hAnsi="Times New Roman" w:cs="Times New Roman"/>
        </w:rPr>
        <w:t>funding and capacity to attend pre-sessions</w:t>
      </w:r>
      <w:r w:rsidRPr="007102CB">
        <w:rPr>
          <w:rFonts w:ascii="Times New Roman" w:hAnsi="Times New Roman" w:cs="Times New Roman"/>
        </w:rPr>
        <w:t>.</w:t>
      </w:r>
      <w:r w:rsidR="09D3CE65" w:rsidRPr="007102CB">
        <w:rPr>
          <w:rFonts w:ascii="Times New Roman" w:hAnsi="Times New Roman" w:cs="Times New Roman"/>
        </w:rPr>
        <w:t xml:space="preserve"> </w:t>
      </w:r>
      <w:r w:rsidR="09D3CE65" w:rsidRPr="007102CB">
        <w:rPr>
          <w:rFonts w:ascii="Times New Roman" w:eastAsia="Calibri" w:hAnsi="Times New Roman" w:cs="Times New Roman"/>
        </w:rPr>
        <w:t>Nevertheless, both Zambia in their fourth Cycle and Kenya in their third Cycle witnessed independent participation in pre-review side events from national NGOs. Zambia, however, did not see the participation of any national UPR coalition.</w:t>
      </w:r>
      <w:r w:rsidR="54717986" w:rsidRPr="007102CB">
        <w:rPr>
          <w:rFonts w:ascii="Times New Roman" w:eastAsia="Calibri" w:hAnsi="Times New Roman" w:cs="Times New Roman"/>
        </w:rPr>
        <w:t xml:space="preserve"> </w:t>
      </w:r>
      <w:r w:rsidR="009B4EB9" w:rsidRPr="007102CB">
        <w:rPr>
          <w:rFonts w:ascii="Times New Roman" w:eastAsia="Calibri" w:hAnsi="Times New Roman" w:cs="Times New Roman"/>
        </w:rPr>
        <w:t xml:space="preserve">Through the formation of </w:t>
      </w:r>
      <w:r w:rsidR="00B16A03" w:rsidRPr="007102CB">
        <w:rPr>
          <w:rFonts w:ascii="Times New Roman" w:eastAsia="Calibri" w:hAnsi="Times New Roman" w:cs="Times New Roman"/>
        </w:rPr>
        <w:t>coalitions that include domestic and INGOs</w:t>
      </w:r>
      <w:r w:rsidR="2669A06E" w:rsidRPr="007102CB">
        <w:rPr>
          <w:rFonts w:ascii="Times New Roman" w:eastAsia="Calibri" w:hAnsi="Times New Roman" w:cs="Times New Roman"/>
        </w:rPr>
        <w:t>,</w:t>
      </w:r>
      <w:r w:rsidR="32BA3FC2" w:rsidRPr="007102CB">
        <w:rPr>
          <w:rFonts w:ascii="Times New Roman" w:eastAsia="Calibri" w:hAnsi="Times New Roman" w:cs="Times New Roman"/>
        </w:rPr>
        <w:t xml:space="preserve"> </w:t>
      </w:r>
      <w:r w:rsidR="00FA71CC" w:rsidRPr="007102CB">
        <w:rPr>
          <w:rFonts w:ascii="Times New Roman" w:eastAsia="Calibri" w:hAnsi="Times New Roman" w:cs="Times New Roman"/>
        </w:rPr>
        <w:t>larger I</w:t>
      </w:r>
      <w:r w:rsidR="32BA3FC2" w:rsidRPr="007102CB">
        <w:rPr>
          <w:rFonts w:ascii="Times New Roman" w:eastAsia="Calibri" w:hAnsi="Times New Roman" w:cs="Times New Roman"/>
        </w:rPr>
        <w:t xml:space="preserve">NGOs </w:t>
      </w:r>
      <w:r w:rsidR="0397EE8C" w:rsidRPr="007102CB">
        <w:rPr>
          <w:rFonts w:ascii="Times New Roman" w:eastAsia="Calibri" w:hAnsi="Times New Roman" w:cs="Times New Roman"/>
        </w:rPr>
        <w:t xml:space="preserve">can </w:t>
      </w:r>
      <w:r w:rsidR="32BA3FC2" w:rsidRPr="007102CB">
        <w:rPr>
          <w:rFonts w:ascii="Times New Roman" w:eastAsia="Calibri" w:hAnsi="Times New Roman" w:cs="Times New Roman"/>
        </w:rPr>
        <w:t xml:space="preserve">act as a </w:t>
      </w:r>
      <w:r w:rsidR="00234D77" w:rsidRPr="007102CB">
        <w:rPr>
          <w:rFonts w:ascii="Times New Roman" w:eastAsia="Calibri" w:hAnsi="Times New Roman" w:cs="Times New Roman"/>
        </w:rPr>
        <w:t>vector</w:t>
      </w:r>
      <w:r w:rsidR="005C63EB" w:rsidRPr="007102CB">
        <w:rPr>
          <w:rFonts w:ascii="Times New Roman" w:eastAsia="Calibri" w:hAnsi="Times New Roman" w:cs="Times New Roman"/>
        </w:rPr>
        <w:t xml:space="preserve"> to transmit</w:t>
      </w:r>
      <w:r w:rsidR="32BA3FC2" w:rsidRPr="007102CB">
        <w:rPr>
          <w:rFonts w:ascii="Times New Roman" w:eastAsia="Calibri" w:hAnsi="Times New Roman" w:cs="Times New Roman"/>
        </w:rPr>
        <w:t xml:space="preserve"> the findings and recommendations of smaller NGOs. B</w:t>
      </w:r>
      <w:r w:rsidR="009B3FDC" w:rsidRPr="007102CB">
        <w:rPr>
          <w:rFonts w:ascii="Times New Roman" w:eastAsia="Calibri" w:hAnsi="Times New Roman" w:cs="Times New Roman"/>
        </w:rPr>
        <w:t>a</w:t>
      </w:r>
      <w:r w:rsidR="32BA3FC2" w:rsidRPr="007102CB">
        <w:rPr>
          <w:rFonts w:ascii="Times New Roman" w:eastAsia="Calibri" w:hAnsi="Times New Roman" w:cs="Times New Roman"/>
        </w:rPr>
        <w:t>ird has argued to this effect, envisaging a system of mutual cooperation whereby INGOs advocate on behalf of</w:t>
      </w:r>
      <w:r w:rsidR="5BD375FB" w:rsidRPr="007102CB">
        <w:rPr>
          <w:rFonts w:ascii="Times New Roman" w:eastAsia="Calibri" w:hAnsi="Times New Roman" w:cs="Times New Roman"/>
        </w:rPr>
        <w:t>,</w:t>
      </w:r>
      <w:r w:rsidR="32BA3FC2" w:rsidRPr="007102CB">
        <w:rPr>
          <w:rFonts w:ascii="Times New Roman" w:eastAsia="Calibri" w:hAnsi="Times New Roman" w:cs="Times New Roman"/>
        </w:rPr>
        <w:t xml:space="preserve"> and act </w:t>
      </w:r>
      <w:r w:rsidR="32BA3FC2" w:rsidRPr="007102CB">
        <w:rPr>
          <w:rFonts w:ascii="Times New Roman" w:eastAsia="Calibri" w:hAnsi="Times New Roman" w:cs="Times New Roman"/>
        </w:rPr>
        <w:lastRenderedPageBreak/>
        <w:t>as the voice for</w:t>
      </w:r>
      <w:r w:rsidR="2E2400FB" w:rsidRPr="007102CB">
        <w:rPr>
          <w:rFonts w:ascii="Times New Roman" w:eastAsia="Calibri" w:hAnsi="Times New Roman" w:cs="Times New Roman"/>
        </w:rPr>
        <w:t>,</w:t>
      </w:r>
      <w:r w:rsidR="32BA3FC2" w:rsidRPr="007102CB">
        <w:rPr>
          <w:rFonts w:ascii="Times New Roman" w:eastAsia="Calibri" w:hAnsi="Times New Roman" w:cs="Times New Roman"/>
        </w:rPr>
        <w:t xml:space="preserve"> national NGOs in the c</w:t>
      </w:r>
      <w:r w:rsidR="5F332E3A" w:rsidRPr="007102CB">
        <w:rPr>
          <w:rFonts w:ascii="Times New Roman" w:eastAsia="Calibri" w:hAnsi="Times New Roman" w:cs="Times New Roman"/>
        </w:rPr>
        <w:t>ontext</w:t>
      </w:r>
      <w:r w:rsidR="32BA3FC2" w:rsidRPr="007102CB">
        <w:rPr>
          <w:rFonts w:ascii="Times New Roman" w:eastAsia="Calibri" w:hAnsi="Times New Roman" w:cs="Times New Roman"/>
        </w:rPr>
        <w:t xml:space="preserve"> of </w:t>
      </w:r>
      <w:r w:rsidR="0076556F" w:rsidRPr="007102CB">
        <w:rPr>
          <w:rFonts w:ascii="Times New Roman" w:eastAsia="Calibri" w:hAnsi="Times New Roman" w:cs="Times New Roman"/>
        </w:rPr>
        <w:t xml:space="preserve">states in the </w:t>
      </w:r>
      <w:r w:rsidR="32BA3FC2" w:rsidRPr="007102CB">
        <w:rPr>
          <w:rFonts w:ascii="Times New Roman" w:eastAsia="Calibri" w:hAnsi="Times New Roman" w:cs="Times New Roman"/>
        </w:rPr>
        <w:t>Pacific islands.</w:t>
      </w:r>
      <w:r w:rsidR="007E74E5">
        <w:rPr>
          <w:rStyle w:val="FootnoteReference"/>
          <w:rFonts w:ascii="Times New Roman" w:eastAsia="Calibri" w:hAnsi="Times New Roman" w:cs="Times New Roman"/>
        </w:rPr>
        <w:footnoteReference w:id="35"/>
      </w:r>
      <w:r w:rsidR="32BA3FC2" w:rsidRPr="007102CB">
        <w:rPr>
          <w:rFonts w:ascii="Times New Roman" w:eastAsia="Calibri" w:hAnsi="Times New Roman" w:cs="Times New Roman"/>
        </w:rPr>
        <w:t xml:space="preserve"> </w:t>
      </w:r>
      <w:r w:rsidR="58C5CA21" w:rsidRPr="007102CB">
        <w:rPr>
          <w:rFonts w:ascii="Times New Roman" w:eastAsia="Calibri" w:hAnsi="Times New Roman" w:cs="Times New Roman"/>
        </w:rPr>
        <w:t>Arguably</w:t>
      </w:r>
      <w:r w:rsidR="32BA3FC2" w:rsidRPr="007102CB">
        <w:rPr>
          <w:rFonts w:ascii="Times New Roman" w:eastAsia="Calibri" w:hAnsi="Times New Roman" w:cs="Times New Roman"/>
        </w:rPr>
        <w:t>, there is scope for the allocation of funding to better facilitate this. Similarly, concerns have been raised over the rigidity and bureaucracy of the process.</w:t>
      </w:r>
      <w:r w:rsidR="002926B9">
        <w:rPr>
          <w:rStyle w:val="FootnoteReference"/>
          <w:rFonts w:ascii="Times New Roman" w:eastAsia="Calibri" w:hAnsi="Times New Roman" w:cs="Times New Roman"/>
        </w:rPr>
        <w:footnoteReference w:id="36"/>
      </w:r>
      <w:r w:rsidR="32BA3FC2" w:rsidRPr="007102CB">
        <w:rPr>
          <w:rFonts w:ascii="Times New Roman" w:eastAsia="Calibri" w:hAnsi="Times New Roman" w:cs="Times New Roman"/>
        </w:rPr>
        <w:t xml:space="preserve"> Attendance can only be made in person. Therefore, permitting online participation could lessen the rigidity of the process and ameliorate geographic isolation</w:t>
      </w:r>
      <w:r w:rsidR="008044CA">
        <w:rPr>
          <w:rFonts w:ascii="Times New Roman" w:eastAsia="Calibri" w:hAnsi="Times New Roman" w:cs="Times New Roman"/>
        </w:rPr>
        <w:t>.</w:t>
      </w:r>
    </w:p>
    <w:p w14:paraId="7E73CC1C" w14:textId="1533847D" w:rsidR="3ACA218E" w:rsidRPr="007102CB" w:rsidRDefault="32BA3FC2" w:rsidP="00770443">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 xml:space="preserve">Furthermore, limitations to </w:t>
      </w:r>
      <w:r w:rsidR="00536E39" w:rsidRPr="007102CB">
        <w:rPr>
          <w:rFonts w:ascii="Times New Roman" w:eastAsia="Calibri" w:hAnsi="Times New Roman" w:cs="Times New Roman"/>
        </w:rPr>
        <w:t>participating in the</w:t>
      </w:r>
      <w:r w:rsidR="00767BA5" w:rsidRPr="007102CB">
        <w:rPr>
          <w:rFonts w:ascii="Times New Roman" w:eastAsia="Calibri" w:hAnsi="Times New Roman" w:cs="Times New Roman"/>
        </w:rPr>
        <w:t xml:space="preserve"> pre-review side-events in Geneva</w:t>
      </w:r>
      <w:r w:rsidRPr="007102CB">
        <w:rPr>
          <w:rFonts w:ascii="Times New Roman" w:eastAsia="Calibri" w:hAnsi="Times New Roman" w:cs="Times New Roman"/>
        </w:rPr>
        <w:t xml:space="preserve"> extend beyond matters of </w:t>
      </w:r>
      <w:r w:rsidR="2C8709E2" w:rsidRPr="007102CB">
        <w:rPr>
          <w:rFonts w:ascii="Times New Roman" w:eastAsia="Calibri" w:hAnsi="Times New Roman" w:cs="Times New Roman"/>
        </w:rPr>
        <w:t xml:space="preserve">logistics </w:t>
      </w:r>
      <w:r w:rsidRPr="007102CB">
        <w:rPr>
          <w:rFonts w:ascii="Times New Roman" w:eastAsia="Calibri" w:hAnsi="Times New Roman" w:cs="Times New Roman"/>
        </w:rPr>
        <w:t>to issues of safety</w:t>
      </w:r>
      <w:r w:rsidR="00767BA5" w:rsidRPr="007102CB">
        <w:rPr>
          <w:rFonts w:ascii="Times New Roman" w:eastAsia="Calibri" w:hAnsi="Times New Roman" w:cs="Times New Roman"/>
        </w:rPr>
        <w:t>. S</w:t>
      </w:r>
      <w:r w:rsidRPr="007102CB">
        <w:rPr>
          <w:rFonts w:ascii="Times New Roman" w:eastAsia="Calibri" w:hAnsi="Times New Roman" w:cs="Times New Roman"/>
        </w:rPr>
        <w:t>ome NGOs have reported reprisals resulting from their attendance</w:t>
      </w:r>
      <w:r w:rsidR="008044CA">
        <w:rPr>
          <w:rFonts w:ascii="Times New Roman" w:eastAsia="Calibri" w:hAnsi="Times New Roman" w:cs="Times New Roman"/>
        </w:rPr>
        <w:t>.</w:t>
      </w:r>
      <w:r w:rsidR="008044CA">
        <w:rPr>
          <w:rStyle w:val="FootnoteReference"/>
          <w:rFonts w:ascii="Times New Roman" w:eastAsia="Calibri" w:hAnsi="Times New Roman" w:cs="Times New Roman"/>
        </w:rPr>
        <w:footnoteReference w:id="37"/>
      </w:r>
      <w:r w:rsidR="008044CA">
        <w:rPr>
          <w:rFonts w:ascii="Times New Roman" w:eastAsia="Calibri" w:hAnsi="Times New Roman" w:cs="Times New Roman"/>
        </w:rPr>
        <w:t xml:space="preserve"> </w:t>
      </w:r>
      <w:r w:rsidR="009E25E2" w:rsidRPr="007102CB">
        <w:rPr>
          <w:rFonts w:ascii="Times New Roman" w:eastAsia="Calibri" w:hAnsi="Times New Roman" w:cs="Times New Roman"/>
        </w:rPr>
        <w:t xml:space="preserve">There </w:t>
      </w:r>
      <w:r w:rsidR="008C2C5D" w:rsidRPr="007102CB">
        <w:rPr>
          <w:rFonts w:ascii="Times New Roman" w:eastAsia="Calibri" w:hAnsi="Times New Roman" w:cs="Times New Roman"/>
        </w:rPr>
        <w:t>are numerous document</w:t>
      </w:r>
      <w:r w:rsidR="002B6DD0" w:rsidRPr="007102CB">
        <w:rPr>
          <w:rFonts w:ascii="Times New Roman" w:eastAsia="Calibri" w:hAnsi="Times New Roman" w:cs="Times New Roman"/>
        </w:rPr>
        <w:t>ed</w:t>
      </w:r>
      <w:r w:rsidR="008C2C5D" w:rsidRPr="007102CB">
        <w:rPr>
          <w:rFonts w:ascii="Times New Roman" w:eastAsia="Calibri" w:hAnsi="Times New Roman" w:cs="Times New Roman"/>
        </w:rPr>
        <w:t xml:space="preserve"> cases of </w:t>
      </w:r>
      <w:r w:rsidR="00C623D9" w:rsidRPr="007102CB">
        <w:rPr>
          <w:rFonts w:ascii="Times New Roman" w:eastAsia="Calibri" w:hAnsi="Times New Roman" w:cs="Times New Roman"/>
        </w:rPr>
        <w:t xml:space="preserve">acts of reprisals and intimidation against </w:t>
      </w:r>
      <w:r w:rsidR="00D42328" w:rsidRPr="007102CB">
        <w:rPr>
          <w:rFonts w:ascii="Times New Roman" w:eastAsia="Calibri" w:hAnsi="Times New Roman" w:cs="Times New Roman"/>
        </w:rPr>
        <w:t>individuals and groups for cooperating with international human rights monit</w:t>
      </w:r>
      <w:r w:rsidR="00315DCE" w:rsidRPr="007102CB">
        <w:rPr>
          <w:rFonts w:ascii="Times New Roman" w:eastAsia="Calibri" w:hAnsi="Times New Roman" w:cs="Times New Roman"/>
        </w:rPr>
        <w:t>oring mechanisms</w:t>
      </w:r>
      <w:r w:rsidR="00537036" w:rsidRPr="007102CB">
        <w:rPr>
          <w:rFonts w:ascii="Times New Roman" w:eastAsia="Calibri" w:hAnsi="Times New Roman" w:cs="Times New Roman"/>
        </w:rPr>
        <w:t xml:space="preserve"> including from </w:t>
      </w:r>
      <w:r w:rsidR="002408DE" w:rsidRPr="007102CB">
        <w:rPr>
          <w:rFonts w:ascii="Times New Roman" w:eastAsia="Calibri" w:hAnsi="Times New Roman" w:cs="Times New Roman"/>
        </w:rPr>
        <w:t xml:space="preserve">Algeria, Burundi, Egypt, </w:t>
      </w:r>
      <w:r w:rsidR="00490AAD" w:rsidRPr="007102CB">
        <w:rPr>
          <w:rFonts w:ascii="Times New Roman" w:eastAsia="Calibri" w:hAnsi="Times New Roman" w:cs="Times New Roman"/>
        </w:rPr>
        <w:t xml:space="preserve">Libya, </w:t>
      </w:r>
      <w:r w:rsidR="00985007" w:rsidRPr="007102CB">
        <w:rPr>
          <w:rFonts w:ascii="Times New Roman" w:eastAsia="Calibri" w:hAnsi="Times New Roman" w:cs="Times New Roman"/>
        </w:rPr>
        <w:t>Cameroon, Indonesia, and Bangladesh</w:t>
      </w:r>
      <w:r w:rsidR="00315DCE" w:rsidRPr="007102CB">
        <w:rPr>
          <w:rFonts w:ascii="Times New Roman" w:eastAsia="Calibri" w:hAnsi="Times New Roman" w:cs="Times New Roman"/>
        </w:rPr>
        <w:t>.</w:t>
      </w:r>
      <w:r w:rsidR="008E0BE3">
        <w:rPr>
          <w:rStyle w:val="FootnoteReference"/>
          <w:rFonts w:ascii="Times New Roman" w:eastAsia="Calibri" w:hAnsi="Times New Roman" w:cs="Times New Roman"/>
        </w:rPr>
        <w:footnoteReference w:id="38"/>
      </w:r>
      <w:r w:rsidR="00315DCE" w:rsidRPr="007102CB">
        <w:rPr>
          <w:rFonts w:ascii="Times New Roman" w:eastAsia="Calibri" w:hAnsi="Times New Roman" w:cs="Times New Roman"/>
        </w:rPr>
        <w:t xml:space="preserve"> </w:t>
      </w:r>
      <w:r w:rsidR="20603C9B" w:rsidRPr="007102CB">
        <w:rPr>
          <w:rFonts w:ascii="Times New Roman" w:eastAsia="Calibri" w:hAnsi="Times New Roman" w:cs="Times New Roman"/>
        </w:rPr>
        <w:t xml:space="preserve">This is consistent with the finding made by Storey and </w:t>
      </w:r>
      <w:r w:rsidR="2096ECD3" w:rsidRPr="007102CB">
        <w:rPr>
          <w:rFonts w:ascii="Times New Roman" w:eastAsia="Calibri" w:hAnsi="Times New Roman" w:cs="Times New Roman"/>
        </w:rPr>
        <w:t>Oleschuk</w:t>
      </w:r>
      <w:r w:rsidR="10257C04" w:rsidRPr="007102CB">
        <w:rPr>
          <w:rFonts w:ascii="Times New Roman" w:eastAsia="Calibri" w:hAnsi="Times New Roman" w:cs="Times New Roman"/>
        </w:rPr>
        <w:t xml:space="preserve"> in their study on empowering civil society at the UPR</w:t>
      </w:r>
      <w:r w:rsidR="6DDCF881" w:rsidRPr="007102CB">
        <w:rPr>
          <w:rFonts w:ascii="Times New Roman" w:eastAsia="Calibri" w:hAnsi="Times New Roman" w:cs="Times New Roman"/>
        </w:rPr>
        <w:t xml:space="preserve"> which </w:t>
      </w:r>
      <w:r w:rsidR="047C79D0" w:rsidRPr="007102CB">
        <w:rPr>
          <w:rFonts w:ascii="Times New Roman" w:eastAsia="Calibri" w:hAnsi="Times New Roman" w:cs="Times New Roman"/>
        </w:rPr>
        <w:t>found</w:t>
      </w:r>
      <w:r w:rsidR="3794DC08" w:rsidRPr="007102CB">
        <w:rPr>
          <w:rFonts w:ascii="Times New Roman" w:eastAsia="Calibri" w:hAnsi="Times New Roman" w:cs="Times New Roman"/>
        </w:rPr>
        <w:t xml:space="preserve"> several </w:t>
      </w:r>
      <w:r w:rsidR="047C79D0" w:rsidRPr="007102CB">
        <w:rPr>
          <w:rFonts w:ascii="Times New Roman" w:eastAsia="Calibri" w:hAnsi="Times New Roman" w:cs="Times New Roman"/>
        </w:rPr>
        <w:t xml:space="preserve">reported </w:t>
      </w:r>
      <w:r w:rsidR="3794DC08" w:rsidRPr="007102CB">
        <w:rPr>
          <w:rFonts w:ascii="Times New Roman" w:eastAsia="Calibri" w:hAnsi="Times New Roman" w:cs="Times New Roman"/>
        </w:rPr>
        <w:t>instances of State reprisal resulting from NGO participation in the UPR process.</w:t>
      </w:r>
      <w:r w:rsidR="003A1C08">
        <w:rPr>
          <w:rStyle w:val="FootnoteReference"/>
          <w:rFonts w:ascii="Times New Roman" w:eastAsia="Calibri" w:hAnsi="Times New Roman" w:cs="Times New Roman"/>
        </w:rPr>
        <w:footnoteReference w:id="39"/>
      </w:r>
      <w:r w:rsidR="3794DC08" w:rsidRPr="007102CB">
        <w:rPr>
          <w:rFonts w:ascii="Times New Roman" w:eastAsia="Calibri" w:hAnsi="Times New Roman" w:cs="Times New Roman"/>
        </w:rPr>
        <w:t xml:space="preserve"> </w:t>
      </w:r>
      <w:r w:rsidRPr="007102CB">
        <w:rPr>
          <w:rFonts w:ascii="Times New Roman" w:eastAsia="Calibri" w:hAnsi="Times New Roman" w:cs="Times New Roman"/>
        </w:rPr>
        <w:t>The public nature of the sessions although advantageous in many ways, inherently raises concerns over safety. Indeed, UPR Info has previously discouraged particular speakers from South Sudan from attending the session due to receipt of information on a ‘real and serious risk of reprisals’ to be made against them.</w:t>
      </w:r>
      <w:r w:rsidR="00567348">
        <w:rPr>
          <w:rStyle w:val="FootnoteReference"/>
          <w:rFonts w:ascii="Times New Roman" w:eastAsia="Calibri" w:hAnsi="Times New Roman" w:cs="Times New Roman"/>
        </w:rPr>
        <w:footnoteReference w:id="40"/>
      </w:r>
      <w:r w:rsidRPr="007102CB">
        <w:rPr>
          <w:rFonts w:ascii="Times New Roman" w:eastAsia="Calibri" w:hAnsi="Times New Roman" w:cs="Times New Roman"/>
        </w:rPr>
        <w:t xml:space="preserve"> Moreover, CSOs from Venezuela have </w:t>
      </w:r>
      <w:r w:rsidR="00375203" w:rsidRPr="007102CB">
        <w:rPr>
          <w:rFonts w:ascii="Times New Roman" w:eastAsia="Calibri" w:hAnsi="Times New Roman" w:cs="Times New Roman"/>
        </w:rPr>
        <w:t>reportedly</w:t>
      </w:r>
      <w:r w:rsidR="21C79777" w:rsidRPr="007102CB">
        <w:rPr>
          <w:rFonts w:ascii="Times New Roman" w:eastAsia="Calibri" w:hAnsi="Times New Roman" w:cs="Times New Roman"/>
        </w:rPr>
        <w:t xml:space="preserve"> </w:t>
      </w:r>
      <w:r w:rsidRPr="007102CB">
        <w:rPr>
          <w:rFonts w:ascii="Times New Roman" w:eastAsia="Calibri" w:hAnsi="Times New Roman" w:cs="Times New Roman"/>
        </w:rPr>
        <w:t>endured a smear campaign upon return from Geneva for their participation.</w:t>
      </w:r>
      <w:r w:rsidR="00B00015">
        <w:rPr>
          <w:rStyle w:val="FootnoteReference"/>
          <w:rFonts w:ascii="Times New Roman" w:eastAsia="Calibri" w:hAnsi="Times New Roman" w:cs="Times New Roman"/>
        </w:rPr>
        <w:footnoteReference w:id="41"/>
      </w:r>
      <w:r w:rsidRPr="007102CB">
        <w:rPr>
          <w:rFonts w:ascii="Times New Roman" w:eastAsia="Calibri" w:hAnsi="Times New Roman" w:cs="Times New Roman"/>
        </w:rPr>
        <w:t xml:space="preserve"> UPR Info has further reported that CSO speakers from Sudan were prevented from travelling to Geneva by state authorities.</w:t>
      </w:r>
      <w:r w:rsidR="004302D3">
        <w:rPr>
          <w:rStyle w:val="FootnoteReference"/>
          <w:rFonts w:ascii="Times New Roman" w:eastAsia="Calibri" w:hAnsi="Times New Roman" w:cs="Times New Roman"/>
        </w:rPr>
        <w:footnoteReference w:id="42"/>
      </w:r>
      <w:r w:rsidRPr="007102CB">
        <w:rPr>
          <w:rFonts w:ascii="Times New Roman" w:eastAsia="Calibri" w:hAnsi="Times New Roman" w:cs="Times New Roman"/>
        </w:rPr>
        <w:t xml:space="preserve"> Therefore, there are </w:t>
      </w:r>
      <w:r w:rsidR="626C6732" w:rsidRPr="007102CB">
        <w:rPr>
          <w:rFonts w:ascii="Times New Roman" w:eastAsia="Calibri" w:hAnsi="Times New Roman" w:cs="Times New Roman"/>
        </w:rPr>
        <w:t>several</w:t>
      </w:r>
      <w:r w:rsidRPr="007102CB">
        <w:rPr>
          <w:rFonts w:ascii="Times New Roman" w:eastAsia="Calibri" w:hAnsi="Times New Roman" w:cs="Times New Roman"/>
        </w:rPr>
        <w:t xml:space="preserve"> </w:t>
      </w:r>
      <w:r w:rsidR="34CF96DE" w:rsidRPr="007102CB">
        <w:rPr>
          <w:rFonts w:ascii="Times New Roman" w:eastAsia="Calibri" w:hAnsi="Times New Roman" w:cs="Times New Roman"/>
        </w:rPr>
        <w:t xml:space="preserve">logistical and practical </w:t>
      </w:r>
      <w:r w:rsidRPr="007102CB">
        <w:rPr>
          <w:rFonts w:ascii="Times New Roman" w:eastAsia="Calibri" w:hAnsi="Times New Roman" w:cs="Times New Roman"/>
        </w:rPr>
        <w:t xml:space="preserve">limitations </w:t>
      </w:r>
      <w:r w:rsidR="0086215F" w:rsidRPr="007102CB">
        <w:rPr>
          <w:rFonts w:ascii="Times New Roman" w:eastAsia="Calibri" w:hAnsi="Times New Roman" w:cs="Times New Roman"/>
        </w:rPr>
        <w:t xml:space="preserve">that </w:t>
      </w:r>
      <w:r w:rsidR="20573C84" w:rsidRPr="007102CB">
        <w:rPr>
          <w:rFonts w:ascii="Times New Roman" w:eastAsia="Calibri" w:hAnsi="Times New Roman" w:cs="Times New Roman"/>
        </w:rPr>
        <w:t xml:space="preserve">can </w:t>
      </w:r>
      <w:r w:rsidRPr="007102CB">
        <w:rPr>
          <w:rFonts w:ascii="Times New Roman" w:eastAsia="Calibri" w:hAnsi="Times New Roman" w:cs="Times New Roman"/>
        </w:rPr>
        <w:t xml:space="preserve">diminish the impact of the Geneva pre-review side events. </w:t>
      </w:r>
    </w:p>
    <w:p w14:paraId="341318D7" w14:textId="47F87D10" w:rsidR="00295757" w:rsidRPr="007102CB" w:rsidRDefault="32BA3FC2" w:rsidP="00770443">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 xml:space="preserve">Nonetheless, there is consensus amongst NGOs and states that the side events present a unique opportunity for both lobbying and relationship-building. </w:t>
      </w:r>
      <w:r w:rsidR="298BEBDE" w:rsidRPr="007102CB">
        <w:rPr>
          <w:rFonts w:ascii="Times New Roman" w:eastAsia="Calibri" w:hAnsi="Times New Roman" w:cs="Times New Roman"/>
        </w:rPr>
        <w:t>Several NGOs have viewed this as a more effective way of engaging with the UPR</w:t>
      </w:r>
      <w:r w:rsidR="52FFC068" w:rsidRPr="007102CB">
        <w:rPr>
          <w:rFonts w:ascii="Times New Roman" w:eastAsia="Calibri" w:hAnsi="Times New Roman" w:cs="Times New Roman"/>
        </w:rPr>
        <w:t>.</w:t>
      </w:r>
      <w:r w:rsidR="00C125BD">
        <w:rPr>
          <w:rStyle w:val="FootnoteReference"/>
          <w:rFonts w:ascii="Times New Roman" w:eastAsia="Calibri" w:hAnsi="Times New Roman" w:cs="Times New Roman"/>
        </w:rPr>
        <w:footnoteReference w:id="43"/>
      </w:r>
      <w:r w:rsidR="1FFDBFD3" w:rsidRPr="007102CB">
        <w:rPr>
          <w:rFonts w:ascii="Times New Roman" w:eastAsia="Calibri" w:hAnsi="Times New Roman" w:cs="Times New Roman"/>
        </w:rPr>
        <w:t xml:space="preserve"> </w:t>
      </w:r>
      <w:r w:rsidRPr="007102CB">
        <w:rPr>
          <w:rFonts w:ascii="Times New Roman" w:eastAsia="Calibri" w:hAnsi="Times New Roman" w:cs="Times New Roman"/>
        </w:rPr>
        <w:t xml:space="preserve">McGaughey has </w:t>
      </w:r>
      <w:r w:rsidR="00C30DC1" w:rsidRPr="007102CB">
        <w:rPr>
          <w:rFonts w:ascii="Times New Roman" w:eastAsia="Calibri" w:hAnsi="Times New Roman" w:cs="Times New Roman"/>
        </w:rPr>
        <w:t xml:space="preserve">found </w:t>
      </w:r>
      <w:r w:rsidR="00C51AEB" w:rsidRPr="007102CB">
        <w:rPr>
          <w:rFonts w:ascii="Times New Roman" w:eastAsia="Calibri" w:hAnsi="Times New Roman" w:cs="Times New Roman"/>
        </w:rPr>
        <w:t>from</w:t>
      </w:r>
      <w:r w:rsidRPr="007102CB">
        <w:rPr>
          <w:rFonts w:ascii="Times New Roman" w:eastAsia="Calibri" w:hAnsi="Times New Roman" w:cs="Times New Roman"/>
        </w:rPr>
        <w:t xml:space="preserve"> </w:t>
      </w:r>
      <w:r w:rsidR="00C51AEB" w:rsidRPr="007102CB">
        <w:rPr>
          <w:rFonts w:ascii="Times New Roman" w:eastAsia="Calibri" w:hAnsi="Times New Roman" w:cs="Times New Roman"/>
        </w:rPr>
        <w:t xml:space="preserve">her </w:t>
      </w:r>
      <w:r w:rsidRPr="007102CB">
        <w:rPr>
          <w:rFonts w:ascii="Times New Roman" w:eastAsia="Calibri" w:hAnsi="Times New Roman" w:cs="Times New Roman"/>
        </w:rPr>
        <w:t>interview</w:t>
      </w:r>
      <w:r w:rsidR="00C51AEB" w:rsidRPr="007102CB">
        <w:rPr>
          <w:rFonts w:ascii="Times New Roman" w:eastAsia="Calibri" w:hAnsi="Times New Roman" w:cs="Times New Roman"/>
        </w:rPr>
        <w:t>s</w:t>
      </w:r>
      <w:r w:rsidRPr="007102CB">
        <w:rPr>
          <w:rFonts w:ascii="Times New Roman" w:eastAsia="Calibri" w:hAnsi="Times New Roman" w:cs="Times New Roman"/>
        </w:rPr>
        <w:t xml:space="preserve"> with government officials an openness of States to attending the pre-review side events.</w:t>
      </w:r>
      <w:r w:rsidR="00B85B64">
        <w:rPr>
          <w:rStyle w:val="FootnoteReference"/>
          <w:rFonts w:ascii="Times New Roman" w:eastAsia="Calibri" w:hAnsi="Times New Roman" w:cs="Times New Roman"/>
        </w:rPr>
        <w:footnoteReference w:id="44"/>
      </w:r>
      <w:r w:rsidRPr="007102CB">
        <w:rPr>
          <w:rFonts w:ascii="Times New Roman" w:eastAsia="Calibri" w:hAnsi="Times New Roman" w:cs="Times New Roman"/>
        </w:rPr>
        <w:t xml:space="preserve"> Moreover, when considering the impact of pre-review side events on Kenya and Zambia’s review there is some evidence to suggest influence over state recommendations. In Kenya’s third cycle, participating </w:t>
      </w:r>
      <w:r w:rsidR="00A9454D" w:rsidRPr="007102CB">
        <w:rPr>
          <w:rFonts w:ascii="Times New Roman" w:eastAsia="Calibri" w:hAnsi="Times New Roman" w:cs="Times New Roman"/>
        </w:rPr>
        <w:t>NG</w:t>
      </w:r>
      <w:r w:rsidRPr="007102CB">
        <w:rPr>
          <w:rFonts w:ascii="Times New Roman" w:eastAsia="Calibri" w:hAnsi="Times New Roman" w:cs="Times New Roman"/>
        </w:rPr>
        <w:t>Os included the Gay and Lesbian Coalition of Kenya, the Medico-Legal Unit, the National Coalition of Human Rights Defenders, the Girls Advocacy Alliance Coalition and Access to Justice, three of which are members of the KSC-UPR. Although not all organisations which presented saw a direct correlation between their recommendations and state recommendations, some were remarkably similar. In particular, the recommendation for Kenya to ‘adopt a comprehensive and inclusive equality and non-discrimination law that affords protection to all Kenyans regardless of their real or perceived sexual orientation, gender identity or expression’</w:t>
      </w:r>
      <w:r w:rsidR="00EA0FB8">
        <w:rPr>
          <w:rStyle w:val="FootnoteReference"/>
          <w:rFonts w:ascii="Times New Roman" w:eastAsia="Calibri" w:hAnsi="Times New Roman" w:cs="Times New Roman"/>
        </w:rPr>
        <w:footnoteReference w:id="45"/>
      </w:r>
      <w:r w:rsidR="00D70886" w:rsidRPr="007102CB">
        <w:rPr>
          <w:rFonts w:ascii="Times New Roman" w:eastAsia="Calibri" w:hAnsi="Times New Roman" w:cs="Times New Roman"/>
        </w:rPr>
        <w:t xml:space="preserve"> </w:t>
      </w:r>
      <w:r w:rsidR="00AD513F" w:rsidRPr="007102CB">
        <w:rPr>
          <w:rFonts w:ascii="Times New Roman" w:eastAsia="Calibri" w:hAnsi="Times New Roman" w:cs="Times New Roman"/>
        </w:rPr>
        <w:t xml:space="preserve">was referred to in an almost identical manner by Norway, Canada and Germany </w:t>
      </w:r>
      <w:r w:rsidR="00AD513F" w:rsidRPr="007102CB">
        <w:rPr>
          <w:rFonts w:ascii="Times New Roman" w:eastAsia="Calibri" w:hAnsi="Times New Roman" w:cs="Times New Roman"/>
        </w:rPr>
        <w:lastRenderedPageBreak/>
        <w:t>during the review.</w:t>
      </w:r>
      <w:r w:rsidR="00443D58">
        <w:rPr>
          <w:rStyle w:val="FootnoteReference"/>
          <w:rFonts w:ascii="Times New Roman" w:eastAsia="Calibri" w:hAnsi="Times New Roman" w:cs="Times New Roman"/>
        </w:rPr>
        <w:footnoteReference w:id="46"/>
      </w:r>
      <w:r w:rsidRPr="007102CB">
        <w:rPr>
          <w:rFonts w:ascii="Times New Roman" w:eastAsia="Calibri" w:hAnsi="Times New Roman" w:cs="Times New Roman"/>
        </w:rPr>
        <w:t xml:space="preserve"> Furthermore, thematic issues reinforced in the pre-review side sessions by NGOs, such as sexual orientation and gender identity, the death penalty and torture, were </w:t>
      </w:r>
      <w:r w:rsidR="002C0380" w:rsidRPr="007102CB">
        <w:rPr>
          <w:rFonts w:ascii="Times New Roman" w:eastAsia="Calibri" w:hAnsi="Times New Roman" w:cs="Times New Roman"/>
        </w:rPr>
        <w:t>ultimately</w:t>
      </w:r>
      <w:r w:rsidRPr="007102CB">
        <w:rPr>
          <w:rFonts w:ascii="Times New Roman" w:eastAsia="Calibri" w:hAnsi="Times New Roman" w:cs="Times New Roman"/>
        </w:rPr>
        <w:t xml:space="preserve"> </w:t>
      </w:r>
      <w:r w:rsidR="00CA19FF" w:rsidRPr="007102CB">
        <w:rPr>
          <w:rFonts w:ascii="Times New Roman" w:eastAsia="Calibri" w:hAnsi="Times New Roman" w:cs="Times New Roman"/>
        </w:rPr>
        <w:t>aligned with</w:t>
      </w:r>
      <w:r w:rsidRPr="007102CB">
        <w:rPr>
          <w:rFonts w:ascii="Times New Roman" w:eastAsia="Calibri" w:hAnsi="Times New Roman" w:cs="Times New Roman"/>
        </w:rPr>
        <w:t xml:space="preserve"> State recommendations. In Zambia’s fourth cycle, FIAN Zambia, Gears Initiative, Human Rights Commission Zambia, and the Network for Human Rights Defenders were selected to present</w:t>
      </w:r>
      <w:r w:rsidR="00CA19FF" w:rsidRPr="007102CB">
        <w:rPr>
          <w:rFonts w:ascii="Times New Roman" w:eastAsia="Calibri" w:hAnsi="Times New Roman" w:cs="Times New Roman"/>
        </w:rPr>
        <w:t xml:space="preserve"> during the pre-review side event</w:t>
      </w:r>
      <w:r w:rsidRPr="007102CB">
        <w:rPr>
          <w:rFonts w:ascii="Times New Roman" w:eastAsia="Calibri" w:hAnsi="Times New Roman" w:cs="Times New Roman"/>
        </w:rPr>
        <w:t xml:space="preserve">. </w:t>
      </w:r>
      <w:r w:rsidR="0007092B" w:rsidRPr="007102CB">
        <w:rPr>
          <w:rFonts w:ascii="Times New Roman" w:eastAsia="Calibri" w:hAnsi="Times New Roman" w:cs="Times New Roman"/>
        </w:rPr>
        <w:t>We found from our analysis that</w:t>
      </w:r>
      <w:r w:rsidRPr="007102CB">
        <w:rPr>
          <w:rFonts w:ascii="Times New Roman" w:eastAsia="Calibri" w:hAnsi="Times New Roman" w:cs="Times New Roman"/>
        </w:rPr>
        <w:t xml:space="preserve"> of Somalia’s three recommendations, two directly correlate</w:t>
      </w:r>
      <w:r w:rsidR="0007092B" w:rsidRPr="007102CB">
        <w:rPr>
          <w:rFonts w:ascii="Times New Roman" w:eastAsia="Calibri" w:hAnsi="Times New Roman" w:cs="Times New Roman"/>
        </w:rPr>
        <w:t>d</w:t>
      </w:r>
      <w:r w:rsidRPr="007102CB">
        <w:rPr>
          <w:rFonts w:ascii="Times New Roman" w:eastAsia="Calibri" w:hAnsi="Times New Roman" w:cs="Times New Roman"/>
        </w:rPr>
        <w:t xml:space="preserve"> to those made by the Human Rights Commission Zambia in their presentation at the pre-session side event.</w:t>
      </w:r>
      <w:r w:rsidR="004C55D3">
        <w:rPr>
          <w:rStyle w:val="FootnoteReference"/>
          <w:rFonts w:ascii="Times New Roman" w:eastAsia="Calibri" w:hAnsi="Times New Roman" w:cs="Times New Roman"/>
        </w:rPr>
        <w:footnoteReference w:id="47"/>
      </w:r>
      <w:r w:rsidRPr="007102CB">
        <w:rPr>
          <w:rFonts w:ascii="Times New Roman" w:eastAsia="Calibri" w:hAnsi="Times New Roman" w:cs="Times New Roman"/>
        </w:rPr>
        <w:t xml:space="preserve"> Somalia </w:t>
      </w:r>
      <w:r w:rsidR="006C5E04" w:rsidRPr="007102CB">
        <w:rPr>
          <w:rFonts w:ascii="Times New Roman" w:eastAsia="Calibri" w:hAnsi="Times New Roman" w:cs="Times New Roman"/>
        </w:rPr>
        <w:t>recommended</w:t>
      </w:r>
      <w:r w:rsidR="22B27067" w:rsidRPr="007102CB">
        <w:rPr>
          <w:rFonts w:ascii="Times New Roman" w:eastAsia="Calibri" w:hAnsi="Times New Roman" w:cs="Times New Roman"/>
        </w:rPr>
        <w:t xml:space="preserve"> </w:t>
      </w:r>
      <w:r w:rsidR="00520C25" w:rsidRPr="007102CB">
        <w:rPr>
          <w:rFonts w:ascii="Times New Roman" w:eastAsia="Calibri" w:hAnsi="Times New Roman" w:cs="Times New Roman"/>
        </w:rPr>
        <w:t>for</w:t>
      </w:r>
      <w:r w:rsidR="22B27067" w:rsidRPr="007102CB">
        <w:rPr>
          <w:rFonts w:ascii="Times New Roman" w:eastAsia="Calibri" w:hAnsi="Times New Roman" w:cs="Times New Roman"/>
        </w:rPr>
        <w:t xml:space="preserve"> Zambia to</w:t>
      </w:r>
      <w:r w:rsidRPr="007102CB">
        <w:rPr>
          <w:rFonts w:ascii="Times New Roman" w:eastAsia="Calibri" w:hAnsi="Times New Roman" w:cs="Times New Roman"/>
        </w:rPr>
        <w:t xml:space="preserve"> ‘[s]</w:t>
      </w:r>
      <w:proofErr w:type="spellStart"/>
      <w:r w:rsidRPr="007102CB">
        <w:rPr>
          <w:rFonts w:ascii="Times New Roman" w:eastAsia="Calibri" w:hAnsi="Times New Roman" w:cs="Times New Roman"/>
        </w:rPr>
        <w:t>trengthen</w:t>
      </w:r>
      <w:proofErr w:type="spellEnd"/>
      <w:r w:rsidRPr="007102CB">
        <w:rPr>
          <w:rFonts w:ascii="Times New Roman" w:eastAsia="Calibri" w:hAnsi="Times New Roman" w:cs="Times New Roman"/>
        </w:rPr>
        <w:t xml:space="preserve"> the capacity of the Zambia Agency for Persons with Disabilities (Somalia)’ and ‘[</w:t>
      </w:r>
      <w:proofErr w:type="spellStart"/>
      <w:r w:rsidRPr="007102CB">
        <w:rPr>
          <w:rFonts w:ascii="Times New Roman" w:eastAsia="Calibri" w:hAnsi="Times New Roman" w:cs="Times New Roman"/>
        </w:rPr>
        <w:t>i</w:t>
      </w:r>
      <w:proofErr w:type="spellEnd"/>
      <w:r w:rsidRPr="007102CB">
        <w:rPr>
          <w:rFonts w:ascii="Times New Roman" w:eastAsia="Calibri" w:hAnsi="Times New Roman" w:cs="Times New Roman"/>
        </w:rPr>
        <w:t>]</w:t>
      </w:r>
      <w:proofErr w:type="spellStart"/>
      <w:r w:rsidRPr="007102CB">
        <w:rPr>
          <w:rFonts w:ascii="Times New Roman" w:eastAsia="Calibri" w:hAnsi="Times New Roman" w:cs="Times New Roman"/>
        </w:rPr>
        <w:t>mplement</w:t>
      </w:r>
      <w:proofErr w:type="spellEnd"/>
      <w:r w:rsidRPr="007102CB">
        <w:rPr>
          <w:rFonts w:ascii="Times New Roman" w:eastAsia="Calibri" w:hAnsi="Times New Roman" w:cs="Times New Roman"/>
        </w:rPr>
        <w:t xml:space="preserve"> recommendations made in the mission report to Zambia by the Special Rapporteur on the rights of persons with disabilities (Somalia).’ Comparably, the Human Rights Commission Zambia made the following two recommendations</w:t>
      </w:r>
      <w:r w:rsidR="51D59CA6" w:rsidRPr="007102CB">
        <w:rPr>
          <w:rFonts w:ascii="Times New Roman" w:eastAsia="Calibri" w:hAnsi="Times New Roman" w:cs="Times New Roman"/>
        </w:rPr>
        <w:t>,</w:t>
      </w:r>
      <w:r w:rsidRPr="007102CB">
        <w:rPr>
          <w:rFonts w:ascii="Times New Roman" w:eastAsia="Calibri" w:hAnsi="Times New Roman" w:cs="Times New Roman"/>
        </w:rPr>
        <w:t xml:space="preserve"> ‘[</w:t>
      </w:r>
      <w:proofErr w:type="spellStart"/>
      <w:r w:rsidRPr="007102CB">
        <w:rPr>
          <w:rFonts w:ascii="Times New Roman" w:eastAsia="Calibri" w:hAnsi="Times New Roman" w:cs="Times New Roman"/>
        </w:rPr>
        <w:t>i</w:t>
      </w:r>
      <w:proofErr w:type="spellEnd"/>
      <w:r w:rsidRPr="007102CB">
        <w:rPr>
          <w:rFonts w:ascii="Times New Roman" w:eastAsia="Calibri" w:hAnsi="Times New Roman" w:cs="Times New Roman"/>
        </w:rPr>
        <w:t>]</w:t>
      </w:r>
      <w:proofErr w:type="spellStart"/>
      <w:r w:rsidRPr="007102CB">
        <w:rPr>
          <w:rFonts w:ascii="Times New Roman" w:eastAsia="Calibri" w:hAnsi="Times New Roman" w:cs="Times New Roman"/>
        </w:rPr>
        <w:t>mplement</w:t>
      </w:r>
      <w:proofErr w:type="spellEnd"/>
      <w:r w:rsidRPr="007102CB">
        <w:rPr>
          <w:rFonts w:ascii="Times New Roman" w:eastAsia="Calibri" w:hAnsi="Times New Roman" w:cs="Times New Roman"/>
        </w:rPr>
        <w:t xml:space="preserve"> recommendations made in the mission report to Zambia by the Special Rapporteur on Persons with Disabilities’ and ‘[s]</w:t>
      </w:r>
      <w:proofErr w:type="spellStart"/>
      <w:r w:rsidRPr="007102CB">
        <w:rPr>
          <w:rFonts w:ascii="Times New Roman" w:eastAsia="Calibri" w:hAnsi="Times New Roman" w:cs="Times New Roman"/>
        </w:rPr>
        <w:t>trengthen</w:t>
      </w:r>
      <w:proofErr w:type="spellEnd"/>
      <w:r w:rsidRPr="007102CB">
        <w:rPr>
          <w:rFonts w:ascii="Times New Roman" w:eastAsia="Calibri" w:hAnsi="Times New Roman" w:cs="Times New Roman"/>
        </w:rPr>
        <w:t xml:space="preserve"> capacity of the Zambia Agency for Persons with Disabilities (ZAPD) including increasing funds granted, to enable it effectively implement its mandate.’</w:t>
      </w:r>
      <w:r w:rsidR="00753A2D">
        <w:rPr>
          <w:rStyle w:val="FootnoteReference"/>
          <w:rFonts w:ascii="Times New Roman" w:eastAsia="Calibri" w:hAnsi="Times New Roman" w:cs="Times New Roman"/>
        </w:rPr>
        <w:footnoteReference w:id="48"/>
      </w:r>
      <w:r w:rsidRPr="007102CB">
        <w:rPr>
          <w:rFonts w:ascii="Times New Roman" w:eastAsia="Calibri" w:hAnsi="Times New Roman" w:cs="Times New Roman"/>
        </w:rPr>
        <w:t xml:space="preserve"> Therefore,</w:t>
      </w:r>
      <w:r w:rsidR="1A253BF8" w:rsidRPr="007102CB">
        <w:rPr>
          <w:rFonts w:ascii="Times New Roman" w:eastAsia="Calibri" w:hAnsi="Times New Roman" w:cs="Times New Roman"/>
        </w:rPr>
        <w:t xml:space="preserve"> </w:t>
      </w:r>
      <w:r w:rsidRPr="007102CB">
        <w:rPr>
          <w:rFonts w:ascii="Times New Roman" w:eastAsia="Calibri" w:hAnsi="Times New Roman" w:cs="Times New Roman"/>
        </w:rPr>
        <w:t>there</w:t>
      </w:r>
      <w:r w:rsidR="63A2D4C4" w:rsidRPr="007102CB">
        <w:rPr>
          <w:rFonts w:ascii="Times New Roman" w:eastAsia="Calibri" w:hAnsi="Times New Roman" w:cs="Times New Roman"/>
        </w:rPr>
        <w:t xml:space="preserve"> appears to be </w:t>
      </w:r>
      <w:r w:rsidRPr="007102CB">
        <w:rPr>
          <w:rFonts w:ascii="Times New Roman" w:eastAsia="Calibri" w:hAnsi="Times New Roman" w:cs="Times New Roman"/>
        </w:rPr>
        <w:t xml:space="preserve">some </w:t>
      </w:r>
      <w:r w:rsidR="002661C0" w:rsidRPr="007102CB">
        <w:rPr>
          <w:rFonts w:ascii="Times New Roman" w:eastAsia="Calibri" w:hAnsi="Times New Roman" w:cs="Times New Roman"/>
        </w:rPr>
        <w:t>alignment between these recommendations</w:t>
      </w:r>
      <w:r w:rsidRPr="007102CB">
        <w:rPr>
          <w:rFonts w:ascii="Times New Roman" w:eastAsia="Calibri" w:hAnsi="Times New Roman" w:cs="Times New Roman"/>
        </w:rPr>
        <w:t xml:space="preserve">. Many recommendations made during the presentations recommended treaty ratification, which were also strongly represented among State recommendations. </w:t>
      </w:r>
    </w:p>
    <w:p w14:paraId="1AC9F800" w14:textId="6A0BCB6E" w:rsidR="002710DA" w:rsidRPr="007102CB" w:rsidRDefault="002710DA" w:rsidP="00770443">
      <w:pPr>
        <w:pStyle w:val="Heading3"/>
        <w:numPr>
          <w:ilvl w:val="0"/>
          <w:numId w:val="17"/>
        </w:numPr>
        <w:spacing w:before="100" w:beforeAutospacing="1" w:after="100" w:afterAutospacing="1" w:line="276" w:lineRule="auto"/>
        <w:rPr>
          <w:rFonts w:ascii="Times New Roman" w:hAnsi="Times New Roman" w:cs="Times New Roman"/>
          <w:color w:val="auto"/>
          <w:lang w:val="en-AU"/>
        </w:rPr>
      </w:pPr>
      <w:r w:rsidRPr="007102CB">
        <w:rPr>
          <w:rFonts w:ascii="Times New Roman" w:hAnsi="Times New Roman" w:cs="Times New Roman"/>
          <w:color w:val="auto"/>
          <w:lang w:val="en-AU"/>
        </w:rPr>
        <w:t>Designing Media and Advocacy Strategies</w:t>
      </w:r>
    </w:p>
    <w:p w14:paraId="466BF2E1" w14:textId="13F4C524" w:rsidR="387AC5DE" w:rsidRPr="007102CB" w:rsidRDefault="387AC5DE" w:rsidP="309CE6D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 xml:space="preserve">The exclusion of NGOs from having designated speaking time during the interactive dialogue segment of the UPR underscores the necessity for effective NGO media and advocacy strategies. This </w:t>
      </w:r>
      <w:r w:rsidR="00586627" w:rsidRPr="007102CB">
        <w:rPr>
          <w:rFonts w:ascii="Times New Roman" w:eastAsia="Calibri" w:hAnsi="Times New Roman" w:cs="Times New Roman"/>
        </w:rPr>
        <w:t>constrain</w:t>
      </w:r>
      <w:r w:rsidR="002955AE" w:rsidRPr="007102CB">
        <w:rPr>
          <w:rFonts w:ascii="Times New Roman" w:eastAsia="Calibri" w:hAnsi="Times New Roman" w:cs="Times New Roman"/>
        </w:rPr>
        <w:t xml:space="preserve"> </w:t>
      </w:r>
      <w:r w:rsidRPr="007102CB">
        <w:rPr>
          <w:rFonts w:ascii="Times New Roman" w:eastAsia="Calibri" w:hAnsi="Times New Roman" w:cs="Times New Roman"/>
        </w:rPr>
        <w:t xml:space="preserve">limits </w:t>
      </w:r>
      <w:r w:rsidR="002955AE" w:rsidRPr="007102CB">
        <w:rPr>
          <w:rFonts w:ascii="Times New Roman" w:eastAsia="Calibri" w:hAnsi="Times New Roman" w:cs="Times New Roman"/>
        </w:rPr>
        <w:t xml:space="preserve">their </w:t>
      </w:r>
      <w:r w:rsidRPr="007102CB">
        <w:rPr>
          <w:rFonts w:ascii="Times New Roman" w:eastAsia="Calibri" w:hAnsi="Times New Roman" w:cs="Times New Roman"/>
        </w:rPr>
        <w:t xml:space="preserve">direct participation in critical discussions, necessitating alternative approaches to influence State recommendations. Nonetheless, multiple stages of the UPR </w:t>
      </w:r>
      <w:r w:rsidR="00FD76DF" w:rsidRPr="007102CB">
        <w:rPr>
          <w:rFonts w:ascii="Times New Roman" w:eastAsia="Calibri" w:hAnsi="Times New Roman" w:cs="Times New Roman"/>
        </w:rPr>
        <w:t xml:space="preserve">process </w:t>
      </w:r>
      <w:r w:rsidRPr="007102CB">
        <w:rPr>
          <w:rFonts w:ascii="Times New Roman" w:eastAsia="Calibri" w:hAnsi="Times New Roman" w:cs="Times New Roman"/>
        </w:rPr>
        <w:t xml:space="preserve">present </w:t>
      </w:r>
      <w:r w:rsidR="00EA74FC" w:rsidRPr="007102CB">
        <w:rPr>
          <w:rFonts w:ascii="Times New Roman" w:eastAsia="Calibri" w:hAnsi="Times New Roman" w:cs="Times New Roman"/>
        </w:rPr>
        <w:t xml:space="preserve">valuable </w:t>
      </w:r>
      <w:r w:rsidRPr="007102CB">
        <w:rPr>
          <w:rFonts w:ascii="Times New Roman" w:eastAsia="Calibri" w:hAnsi="Times New Roman" w:cs="Times New Roman"/>
        </w:rPr>
        <w:t xml:space="preserve">opportunities both pre-review and post-review. </w:t>
      </w:r>
      <w:r w:rsidR="00992FE4" w:rsidRPr="007102CB">
        <w:rPr>
          <w:rFonts w:ascii="Times New Roman" w:eastAsia="Calibri" w:hAnsi="Times New Roman" w:cs="Times New Roman"/>
        </w:rPr>
        <w:t>T</w:t>
      </w:r>
      <w:r w:rsidRPr="007102CB">
        <w:rPr>
          <w:rFonts w:ascii="Times New Roman" w:eastAsia="Calibri" w:hAnsi="Times New Roman" w:cs="Times New Roman"/>
        </w:rPr>
        <w:t xml:space="preserve">he cyclical nature of the process presents fertile ground for long-term advocacy strategies.  An effective advocacy strategy ensures effective follow-up by </w:t>
      </w:r>
      <w:r w:rsidR="00923F28" w:rsidRPr="007102CB">
        <w:rPr>
          <w:rFonts w:ascii="Times New Roman" w:eastAsia="Calibri" w:hAnsi="Times New Roman" w:cs="Times New Roman"/>
        </w:rPr>
        <w:t>NGOs</w:t>
      </w:r>
      <w:r w:rsidRPr="007102CB">
        <w:rPr>
          <w:rFonts w:ascii="Times New Roman" w:eastAsia="Calibri" w:hAnsi="Times New Roman" w:cs="Times New Roman"/>
        </w:rPr>
        <w:t xml:space="preserve"> on </w:t>
      </w:r>
      <w:r w:rsidR="00923F28" w:rsidRPr="007102CB">
        <w:rPr>
          <w:rFonts w:ascii="Times New Roman" w:eastAsia="Calibri" w:hAnsi="Times New Roman" w:cs="Times New Roman"/>
        </w:rPr>
        <w:t xml:space="preserve">UPR </w:t>
      </w:r>
      <w:r w:rsidRPr="007102CB">
        <w:rPr>
          <w:rFonts w:ascii="Times New Roman" w:eastAsia="Calibri" w:hAnsi="Times New Roman" w:cs="Times New Roman"/>
        </w:rPr>
        <w:t xml:space="preserve">recommendations. </w:t>
      </w:r>
    </w:p>
    <w:p w14:paraId="4D06D5AA" w14:textId="08E0A5A3" w:rsidR="387AC5DE" w:rsidRPr="007102CB" w:rsidRDefault="52619553" w:rsidP="0077044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 xml:space="preserve">Effective media engagement is essential to any long-term advocacy strategy. </w:t>
      </w:r>
      <w:proofErr w:type="spellStart"/>
      <w:r w:rsidRPr="007102CB">
        <w:rPr>
          <w:rFonts w:ascii="Times New Roman" w:eastAsia="Calibri" w:hAnsi="Times New Roman" w:cs="Times New Roman"/>
        </w:rPr>
        <w:t>Schokman</w:t>
      </w:r>
      <w:proofErr w:type="spellEnd"/>
      <w:r w:rsidRPr="007102CB">
        <w:rPr>
          <w:rFonts w:ascii="Times New Roman" w:eastAsia="Calibri" w:hAnsi="Times New Roman" w:cs="Times New Roman"/>
        </w:rPr>
        <w:t xml:space="preserve"> and Lynch</w:t>
      </w:r>
      <w:r w:rsidR="00224679" w:rsidRPr="007102CB">
        <w:rPr>
          <w:rFonts w:ascii="Times New Roman" w:eastAsia="Calibri" w:hAnsi="Times New Roman" w:cs="Times New Roman"/>
        </w:rPr>
        <w:t xml:space="preserve"> argue that</w:t>
      </w:r>
      <w:r w:rsidRPr="007102CB">
        <w:rPr>
          <w:rFonts w:ascii="Times New Roman" w:eastAsia="Calibri" w:hAnsi="Times New Roman" w:cs="Times New Roman"/>
        </w:rPr>
        <w:t xml:space="preserve"> the unique peer review element of the UPR process often garners greater media attention than other international human rights monitoring processes.</w:t>
      </w:r>
      <w:r w:rsidR="00BE34A9">
        <w:rPr>
          <w:rStyle w:val="FootnoteReference"/>
          <w:rFonts w:ascii="Times New Roman" w:eastAsia="Calibri" w:hAnsi="Times New Roman" w:cs="Times New Roman"/>
        </w:rPr>
        <w:footnoteReference w:id="49"/>
      </w:r>
      <w:r w:rsidRPr="007102CB">
        <w:rPr>
          <w:rFonts w:ascii="Times New Roman" w:eastAsia="Calibri" w:hAnsi="Times New Roman" w:cs="Times New Roman"/>
        </w:rPr>
        <w:t xml:space="preserve"> Pre-review</w:t>
      </w:r>
      <w:r w:rsidR="28C09BA5" w:rsidRPr="007102CB">
        <w:rPr>
          <w:rFonts w:ascii="Times New Roman" w:eastAsia="Calibri" w:hAnsi="Times New Roman" w:cs="Times New Roman"/>
        </w:rPr>
        <w:t>,</w:t>
      </w:r>
      <w:r w:rsidRPr="007102CB">
        <w:rPr>
          <w:rFonts w:ascii="Times New Roman" w:eastAsia="Calibri" w:hAnsi="Times New Roman" w:cs="Times New Roman"/>
        </w:rPr>
        <w:t xml:space="preserve"> this provides ample opportunity for NGOs to reinforce recommendations that align with their </w:t>
      </w:r>
      <w:r w:rsidR="00D501D2" w:rsidRPr="007102CB">
        <w:rPr>
          <w:rFonts w:ascii="Times New Roman" w:eastAsia="Calibri" w:hAnsi="Times New Roman" w:cs="Times New Roman"/>
        </w:rPr>
        <w:t>focus</w:t>
      </w:r>
      <w:r w:rsidRPr="007102CB">
        <w:rPr>
          <w:rFonts w:ascii="Times New Roman" w:eastAsia="Calibri" w:hAnsi="Times New Roman" w:cs="Times New Roman"/>
        </w:rPr>
        <w:t xml:space="preserve"> and wider advocacy strategies, and post-review to leverage media coverage to hold States accountable for their on the ground implementation of accepted recommendations. Sarah Joseph ha</w:t>
      </w:r>
      <w:r w:rsidR="00D501D2" w:rsidRPr="007102CB">
        <w:rPr>
          <w:rFonts w:ascii="Times New Roman" w:eastAsia="Calibri" w:hAnsi="Times New Roman" w:cs="Times New Roman"/>
        </w:rPr>
        <w:t>s</w:t>
      </w:r>
      <w:r w:rsidRPr="007102CB">
        <w:rPr>
          <w:rFonts w:ascii="Times New Roman" w:eastAsia="Calibri" w:hAnsi="Times New Roman" w:cs="Times New Roman"/>
        </w:rPr>
        <w:t xml:space="preserve"> </w:t>
      </w:r>
      <w:r w:rsidR="00D501D2" w:rsidRPr="007102CB">
        <w:rPr>
          <w:rFonts w:ascii="Times New Roman" w:eastAsia="Calibri" w:hAnsi="Times New Roman" w:cs="Times New Roman"/>
        </w:rPr>
        <w:t xml:space="preserve">underscored </w:t>
      </w:r>
      <w:r w:rsidRPr="007102CB">
        <w:rPr>
          <w:rFonts w:ascii="Times New Roman" w:eastAsia="Calibri" w:hAnsi="Times New Roman" w:cs="Times New Roman"/>
        </w:rPr>
        <w:t xml:space="preserve">the value of media coverage as ‘the crucial piece of the UPR jigsaw’, necessary to fulfil its potential as an effective monitoring mechanism by </w:t>
      </w:r>
      <w:r w:rsidR="3CFA5076" w:rsidRPr="007102CB">
        <w:rPr>
          <w:rFonts w:ascii="Times New Roman" w:eastAsia="Calibri" w:hAnsi="Times New Roman" w:cs="Times New Roman"/>
        </w:rPr>
        <w:t xml:space="preserve">expanding </w:t>
      </w:r>
      <w:r w:rsidRPr="007102CB">
        <w:rPr>
          <w:rFonts w:ascii="Times New Roman" w:eastAsia="Calibri" w:hAnsi="Times New Roman" w:cs="Times New Roman"/>
        </w:rPr>
        <w:t>the</w:t>
      </w:r>
      <w:r w:rsidR="3D15DB64" w:rsidRPr="007102CB">
        <w:rPr>
          <w:rFonts w:ascii="Times New Roman" w:eastAsia="Calibri" w:hAnsi="Times New Roman" w:cs="Times New Roman"/>
        </w:rPr>
        <w:t xml:space="preserve"> reach of the</w:t>
      </w:r>
      <w:r w:rsidRPr="007102CB">
        <w:rPr>
          <w:rFonts w:ascii="Times New Roman" w:eastAsia="Calibri" w:hAnsi="Times New Roman" w:cs="Times New Roman"/>
        </w:rPr>
        <w:t xml:space="preserve"> process beyond the ‘Geneva bubble’ to a broader audience</w:t>
      </w:r>
      <w:r w:rsidR="001D198D">
        <w:rPr>
          <w:rFonts w:ascii="Times New Roman" w:eastAsia="Calibri" w:hAnsi="Times New Roman" w:cs="Times New Roman"/>
        </w:rPr>
        <w:t>.</w:t>
      </w:r>
      <w:r w:rsidR="001D198D">
        <w:rPr>
          <w:rStyle w:val="FootnoteReference"/>
          <w:rFonts w:ascii="Times New Roman" w:eastAsia="Calibri" w:hAnsi="Times New Roman" w:cs="Times New Roman"/>
        </w:rPr>
        <w:footnoteReference w:id="50"/>
      </w:r>
      <w:r w:rsidR="001D198D">
        <w:rPr>
          <w:rFonts w:ascii="Times New Roman" w:eastAsia="Calibri" w:hAnsi="Times New Roman" w:cs="Times New Roman"/>
        </w:rPr>
        <w:t xml:space="preserve"> </w:t>
      </w:r>
      <w:r w:rsidRPr="007102CB">
        <w:rPr>
          <w:rFonts w:ascii="Times New Roman" w:eastAsia="Calibri" w:hAnsi="Times New Roman" w:cs="Times New Roman"/>
        </w:rPr>
        <w:t>However, Joseph</w:t>
      </w:r>
      <w:r w:rsidR="006675D9" w:rsidRPr="007102CB">
        <w:rPr>
          <w:rFonts w:ascii="Times New Roman" w:eastAsia="Calibri" w:hAnsi="Times New Roman" w:cs="Times New Roman"/>
        </w:rPr>
        <w:t xml:space="preserve"> </w:t>
      </w:r>
      <w:r w:rsidRPr="007102CB">
        <w:rPr>
          <w:rFonts w:ascii="Times New Roman" w:eastAsia="Calibri" w:hAnsi="Times New Roman" w:cs="Times New Roman"/>
        </w:rPr>
        <w:t>found in a survey of media coverage of the UPR, that the reality of the UPR as a gradual and cooperative process does not</w:t>
      </w:r>
      <w:r w:rsidR="00D4411B" w:rsidRPr="007102CB">
        <w:rPr>
          <w:rFonts w:ascii="Times New Roman" w:eastAsia="Calibri" w:hAnsi="Times New Roman" w:cs="Times New Roman"/>
        </w:rPr>
        <w:t xml:space="preserve"> yet</w:t>
      </w:r>
      <w:r w:rsidRPr="007102CB">
        <w:rPr>
          <w:rFonts w:ascii="Times New Roman" w:eastAsia="Calibri" w:hAnsi="Times New Roman" w:cs="Times New Roman"/>
        </w:rPr>
        <w:t xml:space="preserve"> gra</w:t>
      </w:r>
      <w:r w:rsidR="00E36D0A" w:rsidRPr="007102CB">
        <w:rPr>
          <w:rFonts w:ascii="Times New Roman" w:eastAsia="Calibri" w:hAnsi="Times New Roman" w:cs="Times New Roman"/>
        </w:rPr>
        <w:t>b</w:t>
      </w:r>
      <w:r w:rsidRPr="007102CB">
        <w:rPr>
          <w:rFonts w:ascii="Times New Roman" w:eastAsia="Calibri" w:hAnsi="Times New Roman" w:cs="Times New Roman"/>
        </w:rPr>
        <w:t xml:space="preserve"> the attention of the often sensationalist media.</w:t>
      </w:r>
      <w:r w:rsidR="001D198D">
        <w:rPr>
          <w:rStyle w:val="FootnoteReference"/>
          <w:rFonts w:ascii="Times New Roman" w:eastAsia="Calibri" w:hAnsi="Times New Roman" w:cs="Times New Roman"/>
        </w:rPr>
        <w:footnoteReference w:id="51"/>
      </w:r>
      <w:r w:rsidRPr="007102CB">
        <w:rPr>
          <w:rFonts w:ascii="Times New Roman" w:eastAsia="Calibri" w:hAnsi="Times New Roman" w:cs="Times New Roman"/>
        </w:rPr>
        <w:t xml:space="preserve"> Nonetheless, Joseph detected greater media coverage from free press outlets in the </w:t>
      </w:r>
      <w:r w:rsidR="00E36D0A" w:rsidRPr="007102CB">
        <w:rPr>
          <w:rFonts w:ascii="Times New Roman" w:eastAsia="Calibri" w:hAnsi="Times New Roman" w:cs="Times New Roman"/>
        </w:rPr>
        <w:t xml:space="preserve">global </w:t>
      </w:r>
      <w:r w:rsidR="00E36D0A" w:rsidRPr="007102CB">
        <w:rPr>
          <w:rFonts w:ascii="Times New Roman" w:eastAsia="Calibri" w:hAnsi="Times New Roman" w:cs="Times New Roman"/>
        </w:rPr>
        <w:lastRenderedPageBreak/>
        <w:t>south</w:t>
      </w:r>
      <w:r w:rsidR="00CA6303" w:rsidRPr="007102CB">
        <w:rPr>
          <w:rFonts w:ascii="Times New Roman" w:eastAsia="Calibri" w:hAnsi="Times New Roman" w:cs="Times New Roman"/>
        </w:rPr>
        <w:t>,</w:t>
      </w:r>
      <w:r w:rsidR="00E36D0A" w:rsidRPr="007102CB">
        <w:rPr>
          <w:rFonts w:ascii="Times New Roman" w:eastAsia="Calibri" w:hAnsi="Times New Roman" w:cs="Times New Roman"/>
        </w:rPr>
        <w:t xml:space="preserve"> </w:t>
      </w:r>
      <w:r w:rsidRPr="007102CB">
        <w:rPr>
          <w:rFonts w:ascii="Times New Roman" w:eastAsia="Calibri" w:hAnsi="Times New Roman" w:cs="Times New Roman"/>
        </w:rPr>
        <w:t>attributable to their deeper resonance with human rights issues and more favourable view of the U</w:t>
      </w:r>
      <w:r w:rsidR="000709C5" w:rsidRPr="007102CB">
        <w:rPr>
          <w:rFonts w:ascii="Times New Roman" w:eastAsia="Calibri" w:hAnsi="Times New Roman" w:cs="Times New Roman"/>
        </w:rPr>
        <w:t>PR compared</w:t>
      </w:r>
      <w:r w:rsidRPr="007102CB">
        <w:rPr>
          <w:rFonts w:ascii="Times New Roman" w:eastAsia="Calibri" w:hAnsi="Times New Roman" w:cs="Times New Roman"/>
        </w:rPr>
        <w:t xml:space="preserve"> to </w:t>
      </w:r>
      <w:r w:rsidR="000709C5" w:rsidRPr="007102CB">
        <w:rPr>
          <w:rFonts w:ascii="Times New Roman" w:eastAsia="Calibri" w:hAnsi="Times New Roman" w:cs="Times New Roman"/>
        </w:rPr>
        <w:t>states in the global north</w:t>
      </w:r>
      <w:r w:rsidRPr="007102CB">
        <w:rPr>
          <w:rFonts w:ascii="Times New Roman" w:eastAsia="Calibri" w:hAnsi="Times New Roman" w:cs="Times New Roman"/>
        </w:rPr>
        <w:t>.</w:t>
      </w:r>
      <w:r w:rsidR="001D198D">
        <w:rPr>
          <w:rStyle w:val="FootnoteReference"/>
          <w:rFonts w:ascii="Times New Roman" w:eastAsia="Calibri" w:hAnsi="Times New Roman" w:cs="Times New Roman"/>
        </w:rPr>
        <w:footnoteReference w:id="52"/>
      </w:r>
      <w:r w:rsidRPr="007102CB">
        <w:rPr>
          <w:rFonts w:ascii="Times New Roman" w:eastAsia="Calibri" w:hAnsi="Times New Roman" w:cs="Times New Roman"/>
        </w:rPr>
        <w:t xml:space="preserve"> This suggests that there is certainly value for NGOs to effectively engage with the media, but that there is perhaps scope for further </w:t>
      </w:r>
      <w:proofErr w:type="spellStart"/>
      <w:r w:rsidRPr="007102CB">
        <w:rPr>
          <w:rFonts w:ascii="Times New Roman" w:eastAsia="Calibri" w:hAnsi="Times New Roman" w:cs="Times New Roman"/>
        </w:rPr>
        <w:t>strategising</w:t>
      </w:r>
      <w:proofErr w:type="spellEnd"/>
      <w:r w:rsidRPr="007102CB">
        <w:rPr>
          <w:rFonts w:ascii="Times New Roman" w:eastAsia="Calibri" w:hAnsi="Times New Roman" w:cs="Times New Roman"/>
        </w:rPr>
        <w:t xml:space="preserve"> to ensure that this </w:t>
      </w:r>
      <w:r w:rsidR="2C8FBC6C" w:rsidRPr="007102CB">
        <w:rPr>
          <w:rFonts w:ascii="Times New Roman" w:eastAsia="Calibri" w:hAnsi="Times New Roman" w:cs="Times New Roman"/>
        </w:rPr>
        <w:t>opportunity</w:t>
      </w:r>
      <w:r w:rsidRPr="007102CB">
        <w:rPr>
          <w:rFonts w:ascii="Times New Roman" w:eastAsia="Calibri" w:hAnsi="Times New Roman" w:cs="Times New Roman"/>
        </w:rPr>
        <w:t xml:space="preserve"> is not underutilised.  </w:t>
      </w:r>
    </w:p>
    <w:p w14:paraId="268300F5" w14:textId="2AF97B81" w:rsidR="387AC5DE" w:rsidRPr="007102CB" w:rsidRDefault="7BA4F8B2" w:rsidP="0077044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Furthermore, t</w:t>
      </w:r>
      <w:r w:rsidR="52619553" w:rsidRPr="007102CB">
        <w:rPr>
          <w:rFonts w:ascii="Times New Roman" w:eastAsia="Calibri" w:hAnsi="Times New Roman" w:cs="Times New Roman"/>
        </w:rPr>
        <w:t xml:space="preserve">he cyclical nature of the UPR </w:t>
      </w:r>
      <w:r w:rsidR="67776C18" w:rsidRPr="007102CB">
        <w:rPr>
          <w:rFonts w:ascii="Times New Roman" w:eastAsia="Calibri" w:hAnsi="Times New Roman" w:cs="Times New Roman"/>
        </w:rPr>
        <w:t>and</w:t>
      </w:r>
      <w:r w:rsidR="52619553" w:rsidRPr="007102CB">
        <w:rPr>
          <w:rFonts w:ascii="Times New Roman" w:eastAsia="Calibri" w:hAnsi="Times New Roman" w:cs="Times New Roman"/>
        </w:rPr>
        <w:t xml:space="preserve"> its clear scheduling both enables and necessitates the development of long-term advocacy strategies by NGOs. This presents opportunities at all stages of the UPR process for meaningful participation in advocacy. Child Rights Connect and UPR Info have previously disseminated a model NGO advocacy strategy that provides a useful overview of these opportunities. Pre-review, this includes encouraging the </w:t>
      </w:r>
      <w:proofErr w:type="spellStart"/>
      <w:r w:rsidR="52619553" w:rsidRPr="007102CB">
        <w:rPr>
          <w:rFonts w:ascii="Times New Roman" w:eastAsia="Calibri" w:hAnsi="Times New Roman" w:cs="Times New Roman"/>
        </w:rPr>
        <w:t>SuR</w:t>
      </w:r>
      <w:proofErr w:type="spellEnd"/>
      <w:r w:rsidR="52619553" w:rsidRPr="007102CB">
        <w:rPr>
          <w:rFonts w:ascii="Times New Roman" w:eastAsia="Calibri" w:hAnsi="Times New Roman" w:cs="Times New Roman"/>
        </w:rPr>
        <w:t xml:space="preserve"> to hold national consultations before drafting its report; taking part in national consultations to influence the </w:t>
      </w:r>
      <w:proofErr w:type="spellStart"/>
      <w:r w:rsidR="52619553" w:rsidRPr="007102CB">
        <w:rPr>
          <w:rFonts w:ascii="Times New Roman" w:eastAsia="Calibri" w:hAnsi="Times New Roman" w:cs="Times New Roman"/>
        </w:rPr>
        <w:t>SuR’s</w:t>
      </w:r>
      <w:proofErr w:type="spellEnd"/>
      <w:r w:rsidR="52619553" w:rsidRPr="007102CB">
        <w:rPr>
          <w:rFonts w:ascii="Times New Roman" w:eastAsia="Calibri" w:hAnsi="Times New Roman" w:cs="Times New Roman"/>
        </w:rPr>
        <w:t xml:space="preserve"> report; preparing an advocacy paper; identifying States to advocate to; contacting relevant embassies; consulting the OHCHR stakeholder summary; consulting the </w:t>
      </w:r>
      <w:proofErr w:type="spellStart"/>
      <w:r w:rsidR="52619553" w:rsidRPr="007102CB">
        <w:rPr>
          <w:rFonts w:ascii="Times New Roman" w:eastAsia="Calibri" w:hAnsi="Times New Roman" w:cs="Times New Roman"/>
        </w:rPr>
        <w:t>SuR’s</w:t>
      </w:r>
      <w:proofErr w:type="spellEnd"/>
      <w:r w:rsidR="52619553" w:rsidRPr="007102CB">
        <w:rPr>
          <w:rFonts w:ascii="Times New Roman" w:eastAsia="Calibri" w:hAnsi="Times New Roman" w:cs="Times New Roman"/>
        </w:rPr>
        <w:t xml:space="preserve"> report; contacting diplomatic missions in Geneva; participating in the UPR Info pre-session; and attending the UPR. Post-review, this includes reading the outcome report; contacting the States that have incorporated NGO concerns; lobbying the </w:t>
      </w:r>
      <w:proofErr w:type="spellStart"/>
      <w:r w:rsidR="52619553" w:rsidRPr="007102CB">
        <w:rPr>
          <w:rFonts w:ascii="Times New Roman" w:eastAsia="Calibri" w:hAnsi="Times New Roman" w:cs="Times New Roman"/>
        </w:rPr>
        <w:t>SuR</w:t>
      </w:r>
      <w:proofErr w:type="spellEnd"/>
      <w:r w:rsidR="52619553" w:rsidRPr="007102CB">
        <w:rPr>
          <w:rFonts w:ascii="Times New Roman" w:eastAsia="Calibri" w:hAnsi="Times New Roman" w:cs="Times New Roman"/>
        </w:rPr>
        <w:t xml:space="preserve"> to accept the recommendations that were </w:t>
      </w:r>
      <w:r w:rsidR="005050A2" w:rsidRPr="007102CB">
        <w:rPr>
          <w:rFonts w:ascii="Times New Roman" w:eastAsia="Calibri" w:hAnsi="Times New Roman" w:cs="Times New Roman"/>
        </w:rPr>
        <w:t>‘noted’</w:t>
      </w:r>
      <w:r w:rsidR="52619553" w:rsidRPr="007102CB">
        <w:rPr>
          <w:rFonts w:ascii="Times New Roman" w:eastAsia="Calibri" w:hAnsi="Times New Roman" w:cs="Times New Roman"/>
        </w:rPr>
        <w:t xml:space="preserve">; following-up on accepted recommendations; maintaining a dialogue on </w:t>
      </w:r>
      <w:r w:rsidR="00E342F7" w:rsidRPr="007102CB">
        <w:rPr>
          <w:rFonts w:ascii="Times New Roman" w:eastAsia="Calibri" w:hAnsi="Times New Roman" w:cs="Times New Roman"/>
        </w:rPr>
        <w:t>‘</w:t>
      </w:r>
      <w:r w:rsidR="52619553" w:rsidRPr="007102CB">
        <w:rPr>
          <w:rFonts w:ascii="Times New Roman" w:eastAsia="Calibri" w:hAnsi="Times New Roman" w:cs="Times New Roman"/>
        </w:rPr>
        <w:t>noted</w:t>
      </w:r>
      <w:r w:rsidR="00E342F7" w:rsidRPr="007102CB">
        <w:rPr>
          <w:rFonts w:ascii="Times New Roman" w:eastAsia="Calibri" w:hAnsi="Times New Roman" w:cs="Times New Roman"/>
        </w:rPr>
        <w:t>’</w:t>
      </w:r>
      <w:r w:rsidR="52619553" w:rsidRPr="007102CB">
        <w:rPr>
          <w:rFonts w:ascii="Times New Roman" w:eastAsia="Calibri" w:hAnsi="Times New Roman" w:cs="Times New Roman"/>
        </w:rPr>
        <w:t xml:space="preserve"> recommendations; producing a mid-term </w:t>
      </w:r>
      <w:r w:rsidR="00E342F7" w:rsidRPr="007102CB">
        <w:rPr>
          <w:rFonts w:ascii="Times New Roman" w:eastAsia="Calibri" w:hAnsi="Times New Roman" w:cs="Times New Roman"/>
        </w:rPr>
        <w:t xml:space="preserve">implementation </w:t>
      </w:r>
      <w:r w:rsidR="52619553" w:rsidRPr="007102CB">
        <w:rPr>
          <w:rFonts w:ascii="Times New Roman" w:eastAsia="Calibri" w:hAnsi="Times New Roman" w:cs="Times New Roman"/>
        </w:rPr>
        <w:t>report; initiating a dialogue on the next review cycle; and following-up with the embassies and diplomatic missions that made recommendations advocated for by NGOs</w:t>
      </w:r>
      <w:r w:rsidR="009E0135">
        <w:rPr>
          <w:rFonts w:ascii="Times New Roman" w:eastAsia="Calibri" w:hAnsi="Times New Roman" w:cs="Times New Roman"/>
        </w:rPr>
        <w:t>.</w:t>
      </w:r>
      <w:r w:rsidR="009E0135">
        <w:rPr>
          <w:rStyle w:val="FootnoteReference"/>
          <w:rFonts w:ascii="Times New Roman" w:eastAsia="Calibri" w:hAnsi="Times New Roman" w:cs="Times New Roman"/>
        </w:rPr>
        <w:footnoteReference w:id="53"/>
      </w:r>
      <w:r w:rsidR="009E0135">
        <w:rPr>
          <w:rFonts w:ascii="Times New Roman" w:eastAsia="Calibri" w:hAnsi="Times New Roman" w:cs="Times New Roman"/>
        </w:rPr>
        <w:t xml:space="preserve"> </w:t>
      </w:r>
      <w:r w:rsidR="00DE5F65" w:rsidRPr="007102CB">
        <w:rPr>
          <w:rFonts w:ascii="Times New Roman" w:eastAsia="Calibri" w:hAnsi="Times New Roman" w:cs="Times New Roman"/>
        </w:rPr>
        <w:t>Child Rights Connect</w:t>
      </w:r>
      <w:r w:rsidR="52619553" w:rsidRPr="007102CB">
        <w:rPr>
          <w:rFonts w:ascii="Times New Roman" w:eastAsia="Calibri" w:hAnsi="Times New Roman" w:cs="Times New Roman"/>
        </w:rPr>
        <w:t xml:space="preserve"> elaborated upon the key characteristics of an effective NGO advocacy strategy</w:t>
      </w:r>
      <w:r w:rsidR="00797ADA" w:rsidRPr="007102CB">
        <w:rPr>
          <w:rFonts w:ascii="Times New Roman" w:eastAsia="Calibri" w:hAnsi="Times New Roman" w:cs="Times New Roman"/>
        </w:rPr>
        <w:t xml:space="preserve"> to include</w:t>
      </w:r>
      <w:r w:rsidR="52619553" w:rsidRPr="007102CB">
        <w:rPr>
          <w:rFonts w:ascii="Times New Roman" w:eastAsia="Calibri" w:hAnsi="Times New Roman" w:cs="Times New Roman"/>
        </w:rPr>
        <w:t xml:space="preserve"> a targeted, focused, coordinated and timely approach</w:t>
      </w:r>
      <w:r w:rsidR="00370A69">
        <w:rPr>
          <w:rFonts w:ascii="Times New Roman" w:eastAsia="Calibri" w:hAnsi="Times New Roman" w:cs="Times New Roman"/>
        </w:rPr>
        <w:t>.</w:t>
      </w:r>
      <w:r w:rsidR="00370A69">
        <w:rPr>
          <w:rStyle w:val="FootnoteReference"/>
          <w:rFonts w:ascii="Times New Roman" w:eastAsia="Calibri" w:hAnsi="Times New Roman" w:cs="Times New Roman"/>
        </w:rPr>
        <w:footnoteReference w:id="54"/>
      </w:r>
      <w:r w:rsidR="00370A69">
        <w:rPr>
          <w:rFonts w:ascii="Times New Roman" w:eastAsia="Calibri" w:hAnsi="Times New Roman" w:cs="Times New Roman"/>
        </w:rPr>
        <w:t xml:space="preserve"> </w:t>
      </w:r>
      <w:r w:rsidR="52619553" w:rsidRPr="007102CB">
        <w:rPr>
          <w:rFonts w:ascii="Times New Roman" w:eastAsia="Calibri" w:hAnsi="Times New Roman" w:cs="Times New Roman"/>
        </w:rPr>
        <w:t xml:space="preserve">To be </w:t>
      </w:r>
      <w:r w:rsidR="00A058B2" w:rsidRPr="007102CB">
        <w:rPr>
          <w:rFonts w:ascii="Times New Roman" w:eastAsia="Calibri" w:hAnsi="Times New Roman" w:cs="Times New Roman"/>
        </w:rPr>
        <w:t>‘</w:t>
      </w:r>
      <w:r w:rsidR="52619553" w:rsidRPr="007102CB">
        <w:rPr>
          <w:rFonts w:ascii="Times New Roman" w:eastAsia="Calibri" w:hAnsi="Times New Roman" w:cs="Times New Roman"/>
        </w:rPr>
        <w:t>targeted</w:t>
      </w:r>
      <w:r w:rsidR="00A058B2" w:rsidRPr="007102CB">
        <w:rPr>
          <w:rFonts w:ascii="Times New Roman" w:eastAsia="Calibri" w:hAnsi="Times New Roman" w:cs="Times New Roman"/>
        </w:rPr>
        <w:t>’,</w:t>
      </w:r>
      <w:r w:rsidR="52619553" w:rsidRPr="007102CB">
        <w:rPr>
          <w:rFonts w:ascii="Times New Roman" w:eastAsia="Calibri" w:hAnsi="Times New Roman" w:cs="Times New Roman"/>
        </w:rPr>
        <w:t xml:space="preserve"> NGOs </w:t>
      </w:r>
      <w:r w:rsidR="00A058B2" w:rsidRPr="007102CB">
        <w:rPr>
          <w:rFonts w:ascii="Times New Roman" w:eastAsia="Calibri" w:hAnsi="Times New Roman" w:cs="Times New Roman"/>
        </w:rPr>
        <w:t>need</w:t>
      </w:r>
      <w:r w:rsidR="52619553" w:rsidRPr="007102CB">
        <w:rPr>
          <w:rFonts w:ascii="Times New Roman" w:eastAsia="Calibri" w:hAnsi="Times New Roman" w:cs="Times New Roman"/>
        </w:rPr>
        <w:t xml:space="preserve"> to identify States with a pre-existing interest in issues pertinent to them. Being </w:t>
      </w:r>
      <w:r w:rsidR="00A058B2" w:rsidRPr="007102CB">
        <w:rPr>
          <w:rFonts w:ascii="Times New Roman" w:eastAsia="Calibri" w:hAnsi="Times New Roman" w:cs="Times New Roman"/>
        </w:rPr>
        <w:t>‘</w:t>
      </w:r>
      <w:r w:rsidR="52619553" w:rsidRPr="007102CB">
        <w:rPr>
          <w:rFonts w:ascii="Times New Roman" w:eastAsia="Calibri" w:hAnsi="Times New Roman" w:cs="Times New Roman"/>
        </w:rPr>
        <w:t>focused</w:t>
      </w:r>
      <w:r w:rsidR="00A058B2" w:rsidRPr="007102CB">
        <w:rPr>
          <w:rFonts w:ascii="Times New Roman" w:eastAsia="Calibri" w:hAnsi="Times New Roman" w:cs="Times New Roman"/>
        </w:rPr>
        <w:t>’</w:t>
      </w:r>
      <w:r w:rsidR="52619553" w:rsidRPr="007102CB">
        <w:rPr>
          <w:rFonts w:ascii="Times New Roman" w:eastAsia="Calibri" w:hAnsi="Times New Roman" w:cs="Times New Roman"/>
        </w:rPr>
        <w:t xml:space="preserve"> necessitates a specific and relevant presentation of issues that NGOs wish to be raised by States. </w:t>
      </w:r>
      <w:r w:rsidR="00F97931" w:rsidRPr="007102CB">
        <w:rPr>
          <w:rFonts w:ascii="Times New Roman" w:eastAsia="Calibri" w:hAnsi="Times New Roman" w:cs="Times New Roman"/>
        </w:rPr>
        <w:t>A</w:t>
      </w:r>
      <w:r w:rsidR="52619553" w:rsidRPr="007102CB">
        <w:rPr>
          <w:rFonts w:ascii="Times New Roman" w:eastAsia="Calibri" w:hAnsi="Times New Roman" w:cs="Times New Roman"/>
        </w:rPr>
        <w:t xml:space="preserve"> </w:t>
      </w:r>
      <w:r w:rsidR="00F97931" w:rsidRPr="007102CB">
        <w:rPr>
          <w:rFonts w:ascii="Times New Roman" w:eastAsia="Calibri" w:hAnsi="Times New Roman" w:cs="Times New Roman"/>
        </w:rPr>
        <w:t>‘</w:t>
      </w:r>
      <w:r w:rsidR="52619553" w:rsidRPr="007102CB">
        <w:rPr>
          <w:rFonts w:ascii="Times New Roman" w:eastAsia="Calibri" w:hAnsi="Times New Roman" w:cs="Times New Roman"/>
        </w:rPr>
        <w:t>coordinated</w:t>
      </w:r>
      <w:r w:rsidR="00F97931" w:rsidRPr="007102CB">
        <w:rPr>
          <w:rFonts w:ascii="Times New Roman" w:eastAsia="Calibri" w:hAnsi="Times New Roman" w:cs="Times New Roman"/>
        </w:rPr>
        <w:t>’</w:t>
      </w:r>
      <w:r w:rsidR="52619553" w:rsidRPr="007102CB">
        <w:rPr>
          <w:rFonts w:ascii="Times New Roman" w:eastAsia="Calibri" w:hAnsi="Times New Roman" w:cs="Times New Roman"/>
        </w:rPr>
        <w:t xml:space="preserve"> approach demands utilising partners to maximise the impact of advocacy efforts. Finally, a </w:t>
      </w:r>
      <w:r w:rsidR="00F97931" w:rsidRPr="007102CB">
        <w:rPr>
          <w:rFonts w:ascii="Times New Roman" w:eastAsia="Calibri" w:hAnsi="Times New Roman" w:cs="Times New Roman"/>
        </w:rPr>
        <w:t>‘</w:t>
      </w:r>
      <w:r w:rsidR="52619553" w:rsidRPr="007102CB">
        <w:rPr>
          <w:rFonts w:ascii="Times New Roman" w:eastAsia="Calibri" w:hAnsi="Times New Roman" w:cs="Times New Roman"/>
        </w:rPr>
        <w:t>timely</w:t>
      </w:r>
      <w:r w:rsidR="00F97931" w:rsidRPr="007102CB">
        <w:rPr>
          <w:rFonts w:ascii="Times New Roman" w:eastAsia="Calibri" w:hAnsi="Times New Roman" w:cs="Times New Roman"/>
        </w:rPr>
        <w:t>’</w:t>
      </w:r>
      <w:r w:rsidR="52619553" w:rsidRPr="007102CB">
        <w:rPr>
          <w:rFonts w:ascii="Times New Roman" w:eastAsia="Calibri" w:hAnsi="Times New Roman" w:cs="Times New Roman"/>
        </w:rPr>
        <w:t xml:space="preserve"> approach means a strategy that aligns with the timeline of the UPR. </w:t>
      </w:r>
    </w:p>
    <w:p w14:paraId="50BD40B7" w14:textId="0F6A922C" w:rsidR="387AC5DE" w:rsidRPr="007102CB" w:rsidRDefault="1BE62287" w:rsidP="0077044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 xml:space="preserve">However, wider barriers to NGO participation in the UPR process are to some extent applicable to the implementation of long-term advocacy strategies. The level of advocacy required to implement a comprehensive strategy which involves consistent lobbying of recommending States can only be </w:t>
      </w:r>
      <w:r w:rsidR="009F3637" w:rsidRPr="007102CB">
        <w:rPr>
          <w:rFonts w:ascii="Times New Roman" w:eastAsia="Calibri" w:hAnsi="Times New Roman" w:cs="Times New Roman"/>
        </w:rPr>
        <w:t>undertaken</w:t>
      </w:r>
      <w:r w:rsidRPr="007102CB">
        <w:rPr>
          <w:rFonts w:ascii="Times New Roman" w:eastAsia="Calibri" w:hAnsi="Times New Roman" w:cs="Times New Roman"/>
        </w:rPr>
        <w:t xml:space="preserve"> by NGOs that have sufficient resources and </w:t>
      </w:r>
      <w:r w:rsidR="00AE37FA" w:rsidRPr="007102CB">
        <w:rPr>
          <w:rFonts w:ascii="Times New Roman" w:eastAsia="Calibri" w:hAnsi="Times New Roman" w:cs="Times New Roman"/>
        </w:rPr>
        <w:t>funded</w:t>
      </w:r>
      <w:r w:rsidRPr="007102CB">
        <w:rPr>
          <w:rFonts w:ascii="Times New Roman" w:eastAsia="Calibri" w:hAnsi="Times New Roman" w:cs="Times New Roman"/>
        </w:rPr>
        <w:t xml:space="preserve"> to do so</w:t>
      </w:r>
      <w:r w:rsidR="005F47EF">
        <w:rPr>
          <w:rFonts w:ascii="Times New Roman" w:eastAsia="Calibri" w:hAnsi="Times New Roman" w:cs="Times New Roman"/>
        </w:rPr>
        <w:t>.</w:t>
      </w:r>
      <w:r w:rsidR="005F47EF">
        <w:rPr>
          <w:rStyle w:val="FootnoteReference"/>
          <w:rFonts w:ascii="Times New Roman" w:eastAsia="Calibri" w:hAnsi="Times New Roman" w:cs="Times New Roman"/>
        </w:rPr>
        <w:footnoteReference w:id="55"/>
      </w:r>
      <w:r w:rsidR="005F47EF">
        <w:rPr>
          <w:rFonts w:ascii="Times New Roman" w:eastAsia="Calibri" w:hAnsi="Times New Roman" w:cs="Times New Roman"/>
        </w:rPr>
        <w:t xml:space="preserve"> </w:t>
      </w:r>
      <w:r w:rsidRPr="007102CB">
        <w:rPr>
          <w:rFonts w:ascii="Times New Roman" w:eastAsia="Calibri" w:hAnsi="Times New Roman" w:cs="Times New Roman"/>
        </w:rPr>
        <w:t>Moreover, in-person advocacy, which necessitates a presence in Geneva, tends to be more effective in positively influencing Member State recommendations</w:t>
      </w:r>
      <w:r w:rsidR="00690E16">
        <w:rPr>
          <w:rStyle w:val="FootnoteReference"/>
          <w:rFonts w:ascii="Times New Roman" w:eastAsia="Calibri" w:hAnsi="Times New Roman" w:cs="Times New Roman"/>
        </w:rPr>
        <w:footnoteReference w:id="56"/>
      </w:r>
      <w:r w:rsidR="00C25B34" w:rsidRPr="007102CB">
        <w:rPr>
          <w:rFonts w:ascii="Times New Roman" w:eastAsia="Calibri" w:hAnsi="Times New Roman" w:cs="Times New Roman"/>
        </w:rPr>
        <w:t xml:space="preserve"> </w:t>
      </w:r>
      <w:r w:rsidR="00D50BF9" w:rsidRPr="007102CB">
        <w:rPr>
          <w:rFonts w:ascii="Times New Roman" w:eastAsia="Calibri" w:hAnsi="Times New Roman" w:cs="Times New Roman"/>
        </w:rPr>
        <w:t>but requires NGOs with the financial resources to do so</w:t>
      </w:r>
      <w:r w:rsidR="005A7D6F" w:rsidRPr="007102CB">
        <w:rPr>
          <w:rFonts w:ascii="Times New Roman" w:eastAsia="Calibri" w:hAnsi="Times New Roman" w:cs="Times New Roman"/>
        </w:rPr>
        <w:t>.</w:t>
      </w:r>
      <w:r w:rsidRPr="007102CB">
        <w:rPr>
          <w:rFonts w:ascii="Times New Roman" w:eastAsia="Calibri" w:hAnsi="Times New Roman" w:cs="Times New Roman"/>
        </w:rPr>
        <w:t xml:space="preserve"> In overcoming these barriers, the formation of national UPR coalitions and alliances with larger INGOs offers the potential to share knowledge on effective advocacy strategies and amplify the </w:t>
      </w:r>
      <w:r w:rsidR="00A447FB" w:rsidRPr="007102CB">
        <w:rPr>
          <w:rFonts w:ascii="Times New Roman" w:eastAsia="Calibri" w:hAnsi="Times New Roman" w:cs="Times New Roman"/>
        </w:rPr>
        <w:t>voices</w:t>
      </w:r>
      <w:r w:rsidRPr="007102CB">
        <w:rPr>
          <w:rFonts w:ascii="Times New Roman" w:eastAsia="Calibri" w:hAnsi="Times New Roman" w:cs="Times New Roman"/>
        </w:rPr>
        <w:t xml:space="preserve"> of smaller NGOs unable to travel </w:t>
      </w:r>
      <w:r w:rsidR="00A447FB" w:rsidRPr="007102CB">
        <w:rPr>
          <w:rFonts w:ascii="Times New Roman" w:eastAsia="Calibri" w:hAnsi="Times New Roman" w:cs="Times New Roman"/>
        </w:rPr>
        <w:t xml:space="preserve">to Geneva </w:t>
      </w:r>
      <w:r w:rsidRPr="007102CB">
        <w:rPr>
          <w:rFonts w:ascii="Times New Roman" w:eastAsia="Calibri" w:hAnsi="Times New Roman" w:cs="Times New Roman"/>
        </w:rPr>
        <w:t xml:space="preserve">by using better funded and resourced INGOs as a conduit for </w:t>
      </w:r>
      <w:r w:rsidRPr="007102CB">
        <w:rPr>
          <w:rFonts w:ascii="Times New Roman" w:eastAsia="Calibri" w:hAnsi="Times New Roman" w:cs="Times New Roman"/>
        </w:rPr>
        <w:lastRenderedPageBreak/>
        <w:t xml:space="preserve">their message in Geneva. Arguably, rather than being an insurmountable hurdle, this highlights the need for a well-crafted and long-term advocacy strategy. </w:t>
      </w:r>
    </w:p>
    <w:p w14:paraId="108E2B0F" w14:textId="678E200B" w:rsidR="43345191" w:rsidRPr="007102CB" w:rsidRDefault="1BE62287" w:rsidP="00770443">
      <w:pPr>
        <w:spacing w:before="100" w:beforeAutospacing="1" w:after="100" w:afterAutospacing="1" w:line="276" w:lineRule="auto"/>
        <w:jc w:val="both"/>
        <w:rPr>
          <w:rFonts w:ascii="Times New Roman" w:eastAsia="Calibri" w:hAnsi="Times New Roman" w:cs="Times New Roman"/>
        </w:rPr>
      </w:pPr>
      <w:r w:rsidRPr="007102CB">
        <w:rPr>
          <w:rFonts w:ascii="Times New Roman" w:eastAsia="Calibri" w:hAnsi="Times New Roman" w:cs="Times New Roman"/>
        </w:rPr>
        <w:t>The Kenya Stakeholder’s Coalition (KSC-UPR), established after the first UPR cycle, has been cited as an example of good practice in terms of effective media engagement and long-term advocacy strategies. Tangible evidence exists of an advocacy strategy manifesting itself at multiple stages of the process. Aside from the consolidated civil society submission, the KSC-UPR has developed a plethora of mechanisms for pre-review advocacy and post-review monitoring. For example, during the first cycle the KSC-UPR produced a stakeholder’s outcomes charter on the universal periodic review of Kenya. The Outcome Charter was designed as a tool for monitoring recommendations with the intention of being updated annually.</w:t>
      </w:r>
      <w:r w:rsidR="004B579B">
        <w:rPr>
          <w:rStyle w:val="FootnoteReference"/>
          <w:rFonts w:ascii="Times New Roman" w:eastAsia="Calibri" w:hAnsi="Times New Roman" w:cs="Times New Roman"/>
        </w:rPr>
        <w:footnoteReference w:id="57"/>
      </w:r>
      <w:r w:rsidRPr="007102CB">
        <w:rPr>
          <w:rFonts w:ascii="Times New Roman" w:eastAsia="Calibri" w:hAnsi="Times New Roman" w:cs="Times New Roman"/>
        </w:rPr>
        <w:t xml:space="preserve"> The Charter provides recommendations on implementation, timeline for</w:t>
      </w:r>
      <w:r w:rsidR="00491D1B" w:rsidRPr="007102CB">
        <w:rPr>
          <w:rFonts w:ascii="Times New Roman" w:eastAsia="Calibri" w:hAnsi="Times New Roman" w:cs="Times New Roman"/>
        </w:rPr>
        <w:t xml:space="preserve"> the</w:t>
      </w:r>
      <w:r w:rsidRPr="007102CB">
        <w:rPr>
          <w:rFonts w:ascii="Times New Roman" w:eastAsia="Calibri" w:hAnsi="Times New Roman" w:cs="Times New Roman"/>
        </w:rPr>
        <w:t xml:space="preserve"> recommendations and monitoring obligations of designated coalition members. To further enhance this process, an annual progress report was developed as a streamlined version of the Charter. </w:t>
      </w:r>
      <w:r w:rsidR="0018604B" w:rsidRPr="007102CB">
        <w:rPr>
          <w:rFonts w:ascii="Times New Roman" w:eastAsia="Calibri" w:hAnsi="Times New Roman" w:cs="Times New Roman"/>
        </w:rPr>
        <w:t>An</w:t>
      </w:r>
      <w:r w:rsidRPr="007102CB">
        <w:rPr>
          <w:rFonts w:ascii="Times New Roman" w:eastAsia="Calibri" w:hAnsi="Times New Roman" w:cs="Times New Roman"/>
        </w:rPr>
        <w:t xml:space="preserve"> </w:t>
      </w:r>
      <w:r w:rsidR="0018604B" w:rsidRPr="007102CB">
        <w:rPr>
          <w:rFonts w:ascii="Times New Roman" w:eastAsia="Calibri" w:hAnsi="Times New Roman" w:cs="Times New Roman"/>
        </w:rPr>
        <w:t>example</w:t>
      </w:r>
      <w:r w:rsidRPr="007102CB">
        <w:rPr>
          <w:rFonts w:ascii="Times New Roman" w:eastAsia="Calibri" w:hAnsi="Times New Roman" w:cs="Times New Roman"/>
        </w:rPr>
        <w:t xml:space="preserve"> of the advocacy strategy of the Kenyan UPR Stakeholders </w:t>
      </w:r>
      <w:r w:rsidR="0018604B" w:rsidRPr="007102CB">
        <w:rPr>
          <w:rFonts w:ascii="Times New Roman" w:eastAsia="Calibri" w:hAnsi="Times New Roman" w:cs="Times New Roman"/>
        </w:rPr>
        <w:t>was</w:t>
      </w:r>
      <w:r w:rsidRPr="007102CB">
        <w:rPr>
          <w:rFonts w:ascii="Times New Roman" w:eastAsia="Calibri" w:hAnsi="Times New Roman" w:cs="Times New Roman"/>
        </w:rPr>
        <w:t xml:space="preserve"> the development of the mid-term review process</w:t>
      </w:r>
      <w:r w:rsidR="00FC095C" w:rsidRPr="007102CB">
        <w:rPr>
          <w:rFonts w:ascii="Times New Roman" w:eastAsia="Calibri" w:hAnsi="Times New Roman" w:cs="Times New Roman"/>
        </w:rPr>
        <w:t xml:space="preserve"> and </w:t>
      </w:r>
      <w:r w:rsidRPr="007102CB">
        <w:rPr>
          <w:rFonts w:ascii="Times New Roman" w:eastAsia="Calibri" w:hAnsi="Times New Roman" w:cs="Times New Roman"/>
        </w:rPr>
        <w:t>the production of mid-term reports for the 1</w:t>
      </w:r>
      <w:r w:rsidRPr="007102CB">
        <w:rPr>
          <w:rFonts w:ascii="Times New Roman" w:eastAsia="Calibri" w:hAnsi="Times New Roman" w:cs="Times New Roman"/>
          <w:vertAlign w:val="superscript"/>
        </w:rPr>
        <w:t>st</w:t>
      </w:r>
      <w:r w:rsidRPr="007102CB">
        <w:rPr>
          <w:rFonts w:ascii="Times New Roman" w:eastAsia="Calibri" w:hAnsi="Times New Roman" w:cs="Times New Roman"/>
        </w:rPr>
        <w:t xml:space="preserve"> and 2</w:t>
      </w:r>
      <w:r w:rsidRPr="007102CB">
        <w:rPr>
          <w:rFonts w:ascii="Times New Roman" w:eastAsia="Calibri" w:hAnsi="Times New Roman" w:cs="Times New Roman"/>
          <w:vertAlign w:val="superscript"/>
        </w:rPr>
        <w:t>nd</w:t>
      </w:r>
      <w:r w:rsidRPr="007102CB">
        <w:rPr>
          <w:rFonts w:ascii="Times New Roman" w:eastAsia="Calibri" w:hAnsi="Times New Roman" w:cs="Times New Roman"/>
        </w:rPr>
        <w:t xml:space="preserve"> cycles of UPR. The mid-term report contain</w:t>
      </w:r>
      <w:r w:rsidR="00FC095C" w:rsidRPr="007102CB">
        <w:rPr>
          <w:rFonts w:ascii="Times New Roman" w:eastAsia="Calibri" w:hAnsi="Times New Roman" w:cs="Times New Roman"/>
        </w:rPr>
        <w:t>ed</w:t>
      </w:r>
      <w:r w:rsidRPr="007102CB">
        <w:rPr>
          <w:rFonts w:ascii="Times New Roman" w:eastAsia="Calibri" w:hAnsi="Times New Roman" w:cs="Times New Roman"/>
        </w:rPr>
        <w:t xml:space="preserve"> in depth research from the KSC-UPR and analysed the level of implementation across thematically grouped recommendations received by Kenya, designating them as</w:t>
      </w:r>
      <w:r w:rsidR="00FC095C" w:rsidRPr="007102CB">
        <w:rPr>
          <w:rFonts w:ascii="Times New Roman" w:eastAsia="Calibri" w:hAnsi="Times New Roman" w:cs="Times New Roman"/>
        </w:rPr>
        <w:t xml:space="preserve"> either</w:t>
      </w:r>
      <w:r w:rsidRPr="007102CB">
        <w:rPr>
          <w:rFonts w:ascii="Times New Roman" w:eastAsia="Calibri" w:hAnsi="Times New Roman" w:cs="Times New Roman"/>
        </w:rPr>
        <w:t xml:space="preserve"> fully implemented, ongoing or partially implemented</w:t>
      </w:r>
      <w:r w:rsidR="0026541C" w:rsidRPr="007102CB">
        <w:rPr>
          <w:rFonts w:ascii="Times New Roman" w:eastAsia="Calibri" w:hAnsi="Times New Roman" w:cs="Times New Roman"/>
        </w:rPr>
        <w:t>,</w:t>
      </w:r>
      <w:r w:rsidRPr="007102CB">
        <w:rPr>
          <w:rFonts w:ascii="Times New Roman" w:eastAsia="Calibri" w:hAnsi="Times New Roman" w:cs="Times New Roman"/>
        </w:rPr>
        <w:t xml:space="preserve"> or not implemented</w:t>
      </w:r>
      <w:r w:rsidR="00631632">
        <w:rPr>
          <w:rFonts w:ascii="Times New Roman" w:eastAsia="Calibri" w:hAnsi="Times New Roman" w:cs="Times New Roman"/>
        </w:rPr>
        <w:t>.</w:t>
      </w:r>
      <w:r w:rsidR="00631632">
        <w:rPr>
          <w:rStyle w:val="FootnoteReference"/>
          <w:rFonts w:ascii="Times New Roman" w:eastAsia="Calibri" w:hAnsi="Times New Roman" w:cs="Times New Roman"/>
        </w:rPr>
        <w:footnoteReference w:id="58"/>
      </w:r>
      <w:r w:rsidR="00631632">
        <w:rPr>
          <w:rFonts w:ascii="Times New Roman" w:eastAsia="Calibri" w:hAnsi="Times New Roman" w:cs="Times New Roman"/>
        </w:rPr>
        <w:t xml:space="preserve"> </w:t>
      </w:r>
      <w:r w:rsidRPr="007102CB">
        <w:rPr>
          <w:rFonts w:ascii="Times New Roman" w:eastAsia="Calibri" w:hAnsi="Times New Roman" w:cs="Times New Roman"/>
        </w:rPr>
        <w:t>Through the practice, NGOs have been able to further influence the adoption of recommendations</w:t>
      </w:r>
      <w:r w:rsidR="009D57F8">
        <w:rPr>
          <w:rFonts w:ascii="Times New Roman" w:eastAsia="Calibri" w:hAnsi="Times New Roman" w:cs="Times New Roman"/>
        </w:rPr>
        <w:t>.</w:t>
      </w:r>
      <w:r w:rsidR="009D57F8">
        <w:rPr>
          <w:rStyle w:val="FootnoteReference"/>
          <w:rFonts w:ascii="Times New Roman" w:eastAsia="Calibri" w:hAnsi="Times New Roman" w:cs="Times New Roman"/>
        </w:rPr>
        <w:footnoteReference w:id="59"/>
      </w:r>
      <w:r w:rsidR="009D57F8">
        <w:rPr>
          <w:rFonts w:ascii="Times New Roman" w:eastAsia="Calibri" w:hAnsi="Times New Roman" w:cs="Times New Roman"/>
        </w:rPr>
        <w:t xml:space="preserve"> </w:t>
      </w:r>
      <w:r w:rsidRPr="007102CB">
        <w:rPr>
          <w:rFonts w:ascii="Times New Roman" w:eastAsia="Calibri" w:hAnsi="Times New Roman" w:cs="Times New Roman"/>
        </w:rPr>
        <w:t>The evidence laid out in the report provided a reference for the 3</w:t>
      </w:r>
      <w:r w:rsidRPr="007102CB">
        <w:rPr>
          <w:rFonts w:ascii="Times New Roman" w:eastAsia="Calibri" w:hAnsi="Times New Roman" w:cs="Times New Roman"/>
          <w:vertAlign w:val="superscript"/>
        </w:rPr>
        <w:t>rd</w:t>
      </w:r>
      <w:r w:rsidRPr="007102CB">
        <w:rPr>
          <w:rFonts w:ascii="Times New Roman" w:eastAsia="Calibri" w:hAnsi="Times New Roman" w:cs="Times New Roman"/>
        </w:rPr>
        <w:t xml:space="preserve"> cycle review.  Moreover, moving into the 3</w:t>
      </w:r>
      <w:r w:rsidRPr="007102CB">
        <w:rPr>
          <w:rFonts w:ascii="Times New Roman" w:eastAsia="Calibri" w:hAnsi="Times New Roman" w:cs="Times New Roman"/>
          <w:vertAlign w:val="superscript"/>
        </w:rPr>
        <w:t>rd</w:t>
      </w:r>
      <w:r w:rsidRPr="007102CB">
        <w:rPr>
          <w:rFonts w:ascii="Times New Roman" w:eastAsia="Calibri" w:hAnsi="Times New Roman" w:cs="Times New Roman"/>
        </w:rPr>
        <w:t xml:space="preserve"> cycle, the KSC-UPR coordinated fundraising and resource mobilisation aiming to bolster support for the UPR process as an effective advocacy mechanism</w:t>
      </w:r>
      <w:r w:rsidR="006A15C5">
        <w:rPr>
          <w:rFonts w:ascii="Times New Roman" w:eastAsia="Calibri" w:hAnsi="Times New Roman" w:cs="Times New Roman"/>
        </w:rPr>
        <w:t>.</w:t>
      </w:r>
      <w:r w:rsidR="006A15C5">
        <w:rPr>
          <w:rStyle w:val="FootnoteReference"/>
          <w:rFonts w:ascii="Times New Roman" w:eastAsia="Calibri" w:hAnsi="Times New Roman" w:cs="Times New Roman"/>
        </w:rPr>
        <w:footnoteReference w:id="60"/>
      </w:r>
      <w:r w:rsidR="006A15C5">
        <w:rPr>
          <w:rFonts w:ascii="Times New Roman" w:eastAsia="Calibri" w:hAnsi="Times New Roman" w:cs="Times New Roman"/>
        </w:rPr>
        <w:t xml:space="preserve"> </w:t>
      </w:r>
      <w:r w:rsidRPr="007102CB">
        <w:rPr>
          <w:rFonts w:ascii="Times New Roman" w:eastAsia="Calibri" w:hAnsi="Times New Roman" w:cs="Times New Roman"/>
        </w:rPr>
        <w:t>As part of the advocacy strategy a 2-day workshop was convened bringing together thematic groups to create simplified advocacy tools with the overarching goal of these tools being directed at state duty bearers such as government officials.</w:t>
      </w:r>
      <w:r w:rsidR="00156723">
        <w:rPr>
          <w:rStyle w:val="FootnoteReference"/>
          <w:rFonts w:ascii="Times New Roman" w:eastAsia="Calibri" w:hAnsi="Times New Roman" w:cs="Times New Roman"/>
        </w:rPr>
        <w:footnoteReference w:id="61"/>
      </w:r>
      <w:r w:rsidRPr="007102CB">
        <w:rPr>
          <w:rFonts w:ascii="Times New Roman" w:eastAsia="Calibri" w:hAnsi="Times New Roman" w:cs="Times New Roman"/>
        </w:rPr>
        <w:t xml:space="preserve"> </w:t>
      </w:r>
      <w:r w:rsidR="001142CA" w:rsidRPr="007102CB">
        <w:rPr>
          <w:rFonts w:ascii="Times New Roman" w:eastAsia="Calibri" w:hAnsi="Times New Roman" w:cs="Times New Roman"/>
        </w:rPr>
        <w:t>This strategy sought</w:t>
      </w:r>
      <w:r w:rsidRPr="007102CB">
        <w:rPr>
          <w:rFonts w:ascii="Times New Roman" w:eastAsia="Calibri" w:hAnsi="Times New Roman" w:cs="Times New Roman"/>
        </w:rPr>
        <w:t xml:space="preserve"> to more easily identify and follow-up on existing recommendations that require</w:t>
      </w:r>
      <w:r w:rsidR="001142CA" w:rsidRPr="007102CB">
        <w:rPr>
          <w:rFonts w:ascii="Times New Roman" w:eastAsia="Calibri" w:hAnsi="Times New Roman" w:cs="Times New Roman"/>
        </w:rPr>
        <w:t>d</w:t>
      </w:r>
      <w:r w:rsidRPr="007102CB">
        <w:rPr>
          <w:rFonts w:ascii="Times New Roman" w:eastAsia="Calibri" w:hAnsi="Times New Roman" w:cs="Times New Roman"/>
        </w:rPr>
        <w:t xml:space="preserve"> further action or implementation.   The coalition </w:t>
      </w:r>
      <w:r w:rsidR="001142CA" w:rsidRPr="007102CB">
        <w:rPr>
          <w:rFonts w:ascii="Times New Roman" w:eastAsia="Calibri" w:hAnsi="Times New Roman" w:cs="Times New Roman"/>
        </w:rPr>
        <w:t xml:space="preserve">also </w:t>
      </w:r>
      <w:r w:rsidRPr="007102CB">
        <w:rPr>
          <w:rFonts w:ascii="Times New Roman" w:eastAsia="Calibri" w:hAnsi="Times New Roman" w:cs="Times New Roman"/>
        </w:rPr>
        <w:t xml:space="preserve">sought to </w:t>
      </w:r>
      <w:r w:rsidR="001142CA" w:rsidRPr="007102CB">
        <w:rPr>
          <w:rFonts w:ascii="Times New Roman" w:eastAsia="Calibri" w:hAnsi="Times New Roman" w:cs="Times New Roman"/>
        </w:rPr>
        <w:t>expand</w:t>
      </w:r>
      <w:r w:rsidRPr="007102CB">
        <w:rPr>
          <w:rFonts w:ascii="Times New Roman" w:eastAsia="Calibri" w:hAnsi="Times New Roman" w:cs="Times New Roman"/>
        </w:rPr>
        <w:t xml:space="preserve"> i</w:t>
      </w:r>
      <w:r w:rsidR="00FB1B49" w:rsidRPr="007102CB">
        <w:rPr>
          <w:rFonts w:ascii="Times New Roman" w:eastAsia="Calibri" w:hAnsi="Times New Roman" w:cs="Times New Roman"/>
        </w:rPr>
        <w:t>ts</w:t>
      </w:r>
      <w:r w:rsidRPr="007102CB">
        <w:rPr>
          <w:rFonts w:ascii="Times New Roman" w:eastAsia="Calibri" w:hAnsi="Times New Roman" w:cs="Times New Roman"/>
        </w:rPr>
        <w:t xml:space="preserve"> membership numbers and thematic groups. The 3</w:t>
      </w:r>
      <w:r w:rsidRPr="007102CB">
        <w:rPr>
          <w:rFonts w:ascii="Times New Roman" w:eastAsia="Calibri" w:hAnsi="Times New Roman" w:cs="Times New Roman"/>
          <w:vertAlign w:val="superscript"/>
        </w:rPr>
        <w:t>rd</w:t>
      </w:r>
      <w:r w:rsidRPr="007102CB">
        <w:rPr>
          <w:rFonts w:ascii="Times New Roman" w:eastAsia="Calibri" w:hAnsi="Times New Roman" w:cs="Times New Roman"/>
        </w:rPr>
        <w:t xml:space="preserve"> cycle witnessed the participation of additional thematic groups, not previously party to the process including Social Justice Centres; Persons with Disabilities; Counter Trafficking; and HIV/Aids.</w:t>
      </w:r>
      <w:r w:rsidR="007F2689">
        <w:rPr>
          <w:rStyle w:val="FootnoteReference"/>
          <w:rFonts w:ascii="Times New Roman" w:eastAsia="Calibri" w:hAnsi="Times New Roman" w:cs="Times New Roman"/>
        </w:rPr>
        <w:footnoteReference w:id="62"/>
      </w:r>
      <w:r w:rsidRPr="007102CB">
        <w:rPr>
          <w:rFonts w:ascii="Times New Roman" w:eastAsia="Calibri" w:hAnsi="Times New Roman" w:cs="Times New Roman"/>
        </w:rPr>
        <w:t xml:space="preserve"> Furthermore, </w:t>
      </w:r>
      <w:r w:rsidR="00FB1B49" w:rsidRPr="007102CB">
        <w:rPr>
          <w:rFonts w:ascii="Times New Roman" w:eastAsia="Calibri" w:hAnsi="Times New Roman" w:cs="Times New Roman"/>
        </w:rPr>
        <w:t>NGO</w:t>
      </w:r>
      <w:r w:rsidRPr="007102CB">
        <w:rPr>
          <w:rFonts w:ascii="Times New Roman" w:eastAsia="Calibri" w:hAnsi="Times New Roman" w:cs="Times New Roman"/>
        </w:rPr>
        <w:t xml:space="preserve">s collaborated with the </w:t>
      </w:r>
      <w:r w:rsidR="00FB1B49" w:rsidRPr="007102CB">
        <w:rPr>
          <w:rFonts w:ascii="Times New Roman" w:eastAsia="Calibri" w:hAnsi="Times New Roman" w:cs="Times New Roman"/>
        </w:rPr>
        <w:t>government</w:t>
      </w:r>
      <w:r w:rsidRPr="007102CB">
        <w:rPr>
          <w:rFonts w:ascii="Times New Roman" w:eastAsia="Calibri" w:hAnsi="Times New Roman" w:cs="Times New Roman"/>
        </w:rPr>
        <w:t xml:space="preserve"> of Kenya in the drafting of an implementation plan for the 3</w:t>
      </w:r>
      <w:r w:rsidRPr="007102CB">
        <w:rPr>
          <w:rFonts w:ascii="Times New Roman" w:eastAsia="Calibri" w:hAnsi="Times New Roman" w:cs="Times New Roman"/>
          <w:vertAlign w:val="superscript"/>
        </w:rPr>
        <w:t>rd</w:t>
      </w:r>
      <w:r w:rsidRPr="007102CB">
        <w:rPr>
          <w:rFonts w:ascii="Times New Roman" w:eastAsia="Calibri" w:hAnsi="Times New Roman" w:cs="Times New Roman"/>
        </w:rPr>
        <w:t xml:space="preserve"> cycle recommendations</w:t>
      </w:r>
      <w:r w:rsidR="000C085D" w:rsidRPr="007102CB">
        <w:rPr>
          <w:rFonts w:ascii="Times New Roman" w:eastAsia="Calibri" w:hAnsi="Times New Roman" w:cs="Times New Roman"/>
        </w:rPr>
        <w:t xml:space="preserve"> (Office of the Attorney General and Department </w:t>
      </w:r>
      <w:r w:rsidR="000C085D" w:rsidRPr="007102CB">
        <w:rPr>
          <w:rFonts w:ascii="Times New Roman" w:eastAsia="Calibri" w:hAnsi="Times New Roman" w:cs="Times New Roman"/>
        </w:rPr>
        <w:lastRenderedPageBreak/>
        <w:t>of Justice 20</w:t>
      </w:r>
      <w:r w:rsidR="008855A5" w:rsidRPr="007102CB">
        <w:rPr>
          <w:rFonts w:ascii="Times New Roman" w:eastAsia="Calibri" w:hAnsi="Times New Roman" w:cs="Times New Roman"/>
        </w:rPr>
        <w:t>2</w:t>
      </w:r>
      <w:r w:rsidR="000C085D" w:rsidRPr="007102CB">
        <w:rPr>
          <w:rFonts w:ascii="Times New Roman" w:eastAsia="Calibri" w:hAnsi="Times New Roman" w:cs="Times New Roman"/>
        </w:rPr>
        <w:t>1: 1)</w:t>
      </w:r>
      <w:r w:rsidRPr="007102CB">
        <w:rPr>
          <w:rFonts w:ascii="Times New Roman" w:eastAsia="Calibri" w:hAnsi="Times New Roman" w:cs="Times New Roman"/>
        </w:rPr>
        <w:t>.</w:t>
      </w:r>
      <w:r w:rsidR="007A7177">
        <w:rPr>
          <w:rStyle w:val="FootnoteReference"/>
          <w:rFonts w:ascii="Times New Roman" w:eastAsia="Calibri" w:hAnsi="Times New Roman" w:cs="Times New Roman"/>
        </w:rPr>
        <w:footnoteReference w:id="63"/>
      </w:r>
      <w:r w:rsidRPr="007102CB">
        <w:rPr>
          <w:rFonts w:ascii="Times New Roman" w:eastAsia="Calibri" w:hAnsi="Times New Roman" w:cs="Times New Roman"/>
        </w:rPr>
        <w:t xml:space="preserve"> This presents </w:t>
      </w:r>
      <w:r w:rsidR="00FB1B49" w:rsidRPr="007102CB">
        <w:rPr>
          <w:rFonts w:ascii="Times New Roman" w:eastAsia="Calibri" w:hAnsi="Times New Roman" w:cs="Times New Roman"/>
        </w:rPr>
        <w:t>strong</w:t>
      </w:r>
      <w:r w:rsidRPr="007102CB">
        <w:rPr>
          <w:rFonts w:ascii="Times New Roman" w:eastAsia="Calibri" w:hAnsi="Times New Roman" w:cs="Times New Roman"/>
        </w:rPr>
        <w:t xml:space="preserve"> evidence of an advocacy strategy in Kenya that, although perhaps not perfect, serves as a </w:t>
      </w:r>
      <w:r w:rsidR="00AC0F85" w:rsidRPr="007102CB">
        <w:rPr>
          <w:rFonts w:ascii="Times New Roman" w:eastAsia="Calibri" w:hAnsi="Times New Roman" w:cs="Times New Roman"/>
        </w:rPr>
        <w:t>good</w:t>
      </w:r>
      <w:r w:rsidRPr="007102CB">
        <w:rPr>
          <w:rFonts w:ascii="Times New Roman" w:eastAsia="Calibri" w:hAnsi="Times New Roman" w:cs="Times New Roman"/>
        </w:rPr>
        <w:t xml:space="preserve"> example.</w:t>
      </w:r>
    </w:p>
    <w:p w14:paraId="65524DD4" w14:textId="3F3CCF93" w:rsidR="680D2E5B" w:rsidRPr="007102CB" w:rsidRDefault="680D2E5B" w:rsidP="00770443">
      <w:pPr>
        <w:pStyle w:val="Heading3"/>
        <w:numPr>
          <w:ilvl w:val="0"/>
          <w:numId w:val="17"/>
        </w:numPr>
        <w:spacing w:before="100" w:beforeAutospacing="1" w:after="100" w:afterAutospacing="1" w:line="276" w:lineRule="auto"/>
        <w:rPr>
          <w:rFonts w:ascii="Times New Roman" w:hAnsi="Times New Roman" w:cs="Times New Roman"/>
          <w:color w:val="auto"/>
          <w:lang w:val="en-AU"/>
        </w:rPr>
      </w:pPr>
      <w:r w:rsidRPr="007102CB">
        <w:rPr>
          <w:rFonts w:ascii="Times New Roman" w:hAnsi="Times New Roman" w:cs="Times New Roman"/>
          <w:color w:val="auto"/>
          <w:lang w:val="en-AU"/>
        </w:rPr>
        <w:t>Lobbying</w:t>
      </w:r>
    </w:p>
    <w:p w14:paraId="5E970960" w14:textId="544B1E06" w:rsidR="4B086B0F" w:rsidRPr="007102CB" w:rsidRDefault="4FAEE45A" w:rsidP="7506401F">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Lobbying is a prominent and important component of CSO engagement with the UPR</w:t>
      </w:r>
      <w:r w:rsidR="003937D6" w:rsidRPr="007102CB">
        <w:rPr>
          <w:rFonts w:ascii="Times New Roman" w:eastAsia="Calibri" w:hAnsi="Times New Roman" w:cs="Times New Roman"/>
        </w:rPr>
        <w:t xml:space="preserve">. </w:t>
      </w:r>
      <w:r w:rsidRPr="007102CB">
        <w:rPr>
          <w:rFonts w:ascii="Times New Roman" w:eastAsia="Calibri" w:hAnsi="Times New Roman" w:cs="Times New Roman"/>
        </w:rPr>
        <w:t xml:space="preserve">NGOs have several </w:t>
      </w:r>
      <w:r w:rsidR="698A8705" w:rsidRPr="007102CB">
        <w:rPr>
          <w:rFonts w:ascii="Times New Roman" w:eastAsia="Calibri" w:hAnsi="Times New Roman" w:cs="Times New Roman"/>
        </w:rPr>
        <w:t>access points</w:t>
      </w:r>
      <w:r w:rsidRPr="007102CB">
        <w:rPr>
          <w:rFonts w:ascii="Times New Roman" w:eastAsia="Calibri" w:hAnsi="Times New Roman" w:cs="Times New Roman"/>
        </w:rPr>
        <w:t xml:space="preserve"> to directly lobby member states, both </w:t>
      </w:r>
      <w:r w:rsidR="6026064E" w:rsidRPr="007102CB">
        <w:rPr>
          <w:rFonts w:ascii="Times New Roman" w:eastAsia="Calibri" w:hAnsi="Times New Roman" w:cs="Times New Roman"/>
        </w:rPr>
        <w:t>pre and post review</w:t>
      </w:r>
      <w:r w:rsidRPr="007102CB">
        <w:rPr>
          <w:rFonts w:ascii="Times New Roman" w:eastAsia="Calibri" w:hAnsi="Times New Roman" w:cs="Times New Roman"/>
        </w:rPr>
        <w:t>. This involves lobbying states to make recommendations during the UPR, and subsequently for the implementation of recommendations at the national level</w:t>
      </w:r>
      <w:r w:rsidR="00C12586" w:rsidRPr="007102CB">
        <w:rPr>
          <w:rFonts w:ascii="Times New Roman" w:eastAsia="Calibri" w:hAnsi="Times New Roman" w:cs="Times New Roman"/>
        </w:rPr>
        <w:t>.</w:t>
      </w:r>
      <w:r w:rsidR="00D94BBF">
        <w:rPr>
          <w:rStyle w:val="FootnoteReference"/>
          <w:rFonts w:ascii="Times New Roman" w:eastAsia="Calibri" w:hAnsi="Times New Roman" w:cs="Times New Roman"/>
        </w:rPr>
        <w:footnoteReference w:id="64"/>
      </w:r>
      <w:r w:rsidRPr="007102CB">
        <w:rPr>
          <w:rFonts w:ascii="Times New Roman" w:eastAsia="Calibri" w:hAnsi="Times New Roman" w:cs="Times New Roman"/>
        </w:rPr>
        <w:t xml:space="preserve"> As discussed in the preceding sections, participation in pre-review sessions, side events and submission of stakeholder reports cumulatively contribute to the broader lobbying process during the UPR</w:t>
      </w:r>
      <w:r w:rsidR="00F120CF" w:rsidRPr="007102CB">
        <w:rPr>
          <w:rFonts w:ascii="Times New Roman" w:eastAsia="Calibri" w:hAnsi="Times New Roman" w:cs="Times New Roman"/>
        </w:rPr>
        <w:t>,</w:t>
      </w:r>
      <w:r w:rsidRPr="007102CB">
        <w:rPr>
          <w:rFonts w:ascii="Times New Roman" w:eastAsia="Calibri" w:hAnsi="Times New Roman" w:cs="Times New Roman"/>
        </w:rPr>
        <w:t xml:space="preserve"> all of which should be integrated into a comprehensive advocacy strategy. Notably, during the pre-sessions in particular, NGOs are afforded the opportunity to lobby multiple delegations simultaneously.</w:t>
      </w:r>
      <w:r w:rsidR="005538EB">
        <w:rPr>
          <w:rStyle w:val="FootnoteReference"/>
          <w:rFonts w:ascii="Times New Roman" w:eastAsia="Calibri" w:hAnsi="Times New Roman" w:cs="Times New Roman"/>
        </w:rPr>
        <w:footnoteReference w:id="65"/>
      </w:r>
      <w:r w:rsidRPr="007102CB">
        <w:rPr>
          <w:rFonts w:ascii="Times New Roman" w:eastAsia="Calibri" w:hAnsi="Times New Roman" w:cs="Times New Roman"/>
        </w:rPr>
        <w:t xml:space="preserve"> Naturally, however, lobbying opportunities for NGOs extend beyond these formal parameters. </w:t>
      </w:r>
    </w:p>
    <w:p w14:paraId="2011B1B9" w14:textId="46B5B3C2" w:rsidR="4B086B0F" w:rsidRPr="007102CB" w:rsidRDefault="3073AAAE" w:rsidP="00770443">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 xml:space="preserve">To consolidate efforts during the formal UPR process, NGOs can engage bilaterally with Member States through direct contact at their embassies, in their home governments, or via their missions in Geneva. As highlighted </w:t>
      </w:r>
      <w:r w:rsidR="6062AEBB" w:rsidRPr="007102CB">
        <w:rPr>
          <w:rFonts w:ascii="Times New Roman" w:eastAsia="Calibri" w:hAnsi="Times New Roman" w:cs="Times New Roman"/>
        </w:rPr>
        <w:t>in</w:t>
      </w:r>
      <w:r w:rsidRPr="007102CB">
        <w:rPr>
          <w:rFonts w:ascii="Times New Roman" w:eastAsia="Calibri" w:hAnsi="Times New Roman" w:cs="Times New Roman"/>
        </w:rPr>
        <w:t xml:space="preserve"> a report by Storey and Oleschuk, this advocacy can take place in-person and virtually.</w:t>
      </w:r>
      <w:r w:rsidR="00A80D0A">
        <w:rPr>
          <w:rStyle w:val="FootnoteReference"/>
          <w:rFonts w:ascii="Times New Roman" w:eastAsia="Calibri" w:hAnsi="Times New Roman" w:cs="Times New Roman"/>
        </w:rPr>
        <w:footnoteReference w:id="66"/>
      </w:r>
      <w:r w:rsidRPr="007102CB">
        <w:rPr>
          <w:rFonts w:ascii="Times New Roman" w:eastAsia="Calibri" w:hAnsi="Times New Roman" w:cs="Times New Roman"/>
        </w:rPr>
        <w:t xml:space="preserve"> For example, during Namibia</w:t>
      </w:r>
      <w:r w:rsidR="556CE6C2" w:rsidRPr="007102CB">
        <w:rPr>
          <w:rFonts w:ascii="Times New Roman" w:eastAsia="Calibri" w:hAnsi="Times New Roman" w:cs="Times New Roman"/>
        </w:rPr>
        <w:t>‘</w:t>
      </w:r>
      <w:r w:rsidRPr="007102CB">
        <w:rPr>
          <w:rFonts w:ascii="Times New Roman" w:eastAsia="Calibri" w:hAnsi="Times New Roman" w:cs="Times New Roman"/>
        </w:rPr>
        <w:t>s 3</w:t>
      </w:r>
      <w:r w:rsidRPr="007102CB">
        <w:rPr>
          <w:rFonts w:ascii="Times New Roman" w:eastAsia="Calibri" w:hAnsi="Times New Roman" w:cs="Times New Roman"/>
          <w:vertAlign w:val="superscript"/>
        </w:rPr>
        <w:t>rd</w:t>
      </w:r>
      <w:r w:rsidRPr="007102CB">
        <w:rPr>
          <w:rFonts w:ascii="Times New Roman" w:eastAsia="Calibri" w:hAnsi="Times New Roman" w:cs="Times New Roman"/>
        </w:rPr>
        <w:t xml:space="preserve"> </w:t>
      </w:r>
      <w:r w:rsidR="21D0D55B" w:rsidRPr="007102CB">
        <w:rPr>
          <w:rFonts w:ascii="Times New Roman" w:eastAsia="Calibri" w:hAnsi="Times New Roman" w:cs="Times New Roman"/>
        </w:rPr>
        <w:t>Cyle</w:t>
      </w:r>
      <w:r w:rsidRPr="007102CB">
        <w:rPr>
          <w:rFonts w:ascii="Times New Roman" w:eastAsia="Calibri" w:hAnsi="Times New Roman" w:cs="Times New Roman"/>
        </w:rPr>
        <w:t>, the UPR Project at BCU submitted a report on women and girls living with HIV.</w:t>
      </w:r>
      <w:r w:rsidR="00850212">
        <w:rPr>
          <w:rStyle w:val="FootnoteReference"/>
          <w:rFonts w:ascii="Times New Roman" w:eastAsia="Calibri" w:hAnsi="Times New Roman" w:cs="Times New Roman"/>
        </w:rPr>
        <w:footnoteReference w:id="67"/>
      </w:r>
      <w:r w:rsidRPr="007102CB">
        <w:rPr>
          <w:rFonts w:ascii="Times New Roman" w:eastAsia="Calibri" w:hAnsi="Times New Roman" w:cs="Times New Roman"/>
        </w:rPr>
        <w:t xml:space="preserve"> Subsequently, the UPR Project utilised UPR Info’s recommendations database to send targeted emails, attaching their pre-session statement, to the Missions of Member States that had previously made recommendations in the same thematic area.</w:t>
      </w:r>
      <w:r w:rsidR="009A4AF7">
        <w:rPr>
          <w:rStyle w:val="FootnoteReference"/>
          <w:rFonts w:ascii="Times New Roman" w:eastAsia="Calibri" w:hAnsi="Times New Roman" w:cs="Times New Roman"/>
        </w:rPr>
        <w:footnoteReference w:id="68"/>
      </w:r>
      <w:r w:rsidRPr="007102CB">
        <w:rPr>
          <w:rFonts w:ascii="Times New Roman" w:eastAsia="Calibri" w:hAnsi="Times New Roman" w:cs="Times New Roman"/>
        </w:rPr>
        <w:t xml:space="preserve"> Similarly, research conducted by Moss found that </w:t>
      </w:r>
      <w:r w:rsidR="00E23EED" w:rsidRPr="007102CB">
        <w:rPr>
          <w:rFonts w:ascii="Times New Roman" w:eastAsia="Calibri" w:hAnsi="Times New Roman" w:cs="Times New Roman"/>
        </w:rPr>
        <w:t>NG</w:t>
      </w:r>
      <w:r w:rsidRPr="007102CB">
        <w:rPr>
          <w:rFonts w:ascii="Times New Roman" w:eastAsia="Calibri" w:hAnsi="Times New Roman" w:cs="Times New Roman"/>
        </w:rPr>
        <w:t>Os often send bespoke emails to states containing their relevant reports and human rights information.</w:t>
      </w:r>
      <w:r w:rsidR="000122C0">
        <w:rPr>
          <w:rStyle w:val="FootnoteReference"/>
          <w:rFonts w:ascii="Times New Roman" w:eastAsia="Calibri" w:hAnsi="Times New Roman" w:cs="Times New Roman"/>
        </w:rPr>
        <w:footnoteReference w:id="69"/>
      </w:r>
      <w:r w:rsidRPr="007102CB">
        <w:rPr>
          <w:rFonts w:ascii="Times New Roman" w:eastAsia="Calibri" w:hAnsi="Times New Roman" w:cs="Times New Roman"/>
        </w:rPr>
        <w:t xml:space="preserve"> Furthermore, </w:t>
      </w:r>
      <w:r w:rsidR="565068F4" w:rsidRPr="007102CB">
        <w:rPr>
          <w:rFonts w:ascii="Times New Roman" w:eastAsia="Calibri" w:hAnsi="Times New Roman" w:cs="Times New Roman"/>
        </w:rPr>
        <w:t xml:space="preserve">when </w:t>
      </w:r>
      <w:r w:rsidRPr="007102CB">
        <w:rPr>
          <w:rFonts w:ascii="Times New Roman" w:eastAsia="Calibri" w:hAnsi="Times New Roman" w:cs="Times New Roman"/>
        </w:rPr>
        <w:t>in Geneva NGOs frequently seek to meet with</w:t>
      </w:r>
      <w:r w:rsidR="4BF0C1D7" w:rsidRPr="007102CB">
        <w:rPr>
          <w:rFonts w:ascii="Times New Roman" w:eastAsia="Calibri" w:hAnsi="Times New Roman" w:cs="Times New Roman"/>
        </w:rPr>
        <w:t xml:space="preserve"> the missions of recommending s</w:t>
      </w:r>
      <w:r w:rsidRPr="007102CB">
        <w:rPr>
          <w:rFonts w:ascii="Times New Roman" w:eastAsia="Calibri" w:hAnsi="Times New Roman" w:cs="Times New Roman"/>
        </w:rPr>
        <w:t>tates in person</w:t>
      </w:r>
      <w:r w:rsidR="21FF0166" w:rsidRPr="007102CB">
        <w:rPr>
          <w:rFonts w:ascii="Times New Roman" w:eastAsia="Calibri" w:hAnsi="Times New Roman" w:cs="Times New Roman"/>
        </w:rPr>
        <w:t>,</w:t>
      </w:r>
      <w:r w:rsidRPr="007102CB">
        <w:rPr>
          <w:rFonts w:ascii="Times New Roman" w:eastAsia="Calibri" w:hAnsi="Times New Roman" w:cs="Times New Roman"/>
        </w:rPr>
        <w:t xml:space="preserve"> or virtually where not possible.</w:t>
      </w:r>
      <w:r w:rsidR="000122C0">
        <w:rPr>
          <w:rStyle w:val="FootnoteReference"/>
          <w:rFonts w:ascii="Times New Roman" w:eastAsia="Calibri" w:hAnsi="Times New Roman" w:cs="Times New Roman"/>
        </w:rPr>
        <w:footnoteReference w:id="70"/>
      </w:r>
      <w:r w:rsidRPr="007102CB">
        <w:rPr>
          <w:rFonts w:ascii="Times New Roman" w:eastAsia="Calibri" w:hAnsi="Times New Roman" w:cs="Times New Roman"/>
        </w:rPr>
        <w:t xml:space="preserve"> </w:t>
      </w:r>
    </w:p>
    <w:p w14:paraId="403F1B79" w14:textId="24715703" w:rsidR="4B086B0F" w:rsidRPr="007102CB" w:rsidRDefault="3073AAAE" w:rsidP="00770443">
      <w:pPr>
        <w:spacing w:before="100" w:beforeAutospacing="1" w:after="100" w:afterAutospacing="1" w:line="276" w:lineRule="auto"/>
        <w:jc w:val="both"/>
        <w:rPr>
          <w:rFonts w:ascii="Times New Roman" w:eastAsia="Calibri" w:hAnsi="Times New Roman" w:cs="Times New Roman"/>
          <w:vertAlign w:val="superscript"/>
          <w:lang w:val="en-AU"/>
        </w:rPr>
      </w:pPr>
      <w:r w:rsidRPr="007102CB">
        <w:rPr>
          <w:rFonts w:ascii="Times New Roman" w:eastAsia="Calibri" w:hAnsi="Times New Roman" w:cs="Times New Roman"/>
        </w:rPr>
        <w:t>Lobbying is essential to NGO participation in the UPR for several reasons. As articulated by Moss, the centrality of Member States in the UPR necessitates that NGOs engage in lobbying, utilising it as a tool to advance specific, actionable recommendations</w:t>
      </w:r>
      <w:r w:rsidR="008218DF" w:rsidRPr="007102CB">
        <w:rPr>
          <w:rFonts w:ascii="Times New Roman" w:eastAsia="Calibri" w:hAnsi="Times New Roman" w:cs="Times New Roman"/>
        </w:rPr>
        <w:t>.</w:t>
      </w:r>
      <w:r w:rsidR="005A76E2">
        <w:rPr>
          <w:rStyle w:val="FootnoteReference"/>
          <w:rFonts w:ascii="Times New Roman" w:eastAsia="Calibri" w:hAnsi="Times New Roman" w:cs="Times New Roman"/>
        </w:rPr>
        <w:footnoteReference w:id="71"/>
      </w:r>
      <w:r w:rsidR="008218DF" w:rsidRPr="007102CB">
        <w:rPr>
          <w:rFonts w:ascii="Times New Roman" w:eastAsia="Calibri" w:hAnsi="Times New Roman" w:cs="Times New Roman"/>
        </w:rPr>
        <w:t xml:space="preserve"> </w:t>
      </w:r>
      <w:r w:rsidRPr="007102CB">
        <w:rPr>
          <w:rFonts w:ascii="Times New Roman" w:eastAsia="Calibri" w:hAnsi="Times New Roman" w:cs="Times New Roman"/>
        </w:rPr>
        <w:t>More broadly, lobbying increases visibility and credibility</w:t>
      </w:r>
      <w:r w:rsidR="00946F81">
        <w:rPr>
          <w:rStyle w:val="FootnoteReference"/>
          <w:rFonts w:ascii="Times New Roman" w:eastAsia="Calibri" w:hAnsi="Times New Roman" w:cs="Times New Roman"/>
        </w:rPr>
        <w:footnoteReference w:id="72"/>
      </w:r>
      <w:r w:rsidR="00E14D70" w:rsidRPr="007102CB">
        <w:rPr>
          <w:rFonts w:ascii="Times New Roman" w:eastAsia="Calibri" w:hAnsi="Times New Roman" w:cs="Times New Roman"/>
        </w:rPr>
        <w:t xml:space="preserve"> </w:t>
      </w:r>
      <w:r w:rsidRPr="007102CB">
        <w:rPr>
          <w:rFonts w:ascii="Times New Roman" w:eastAsia="Calibri" w:hAnsi="Times New Roman" w:cs="Times New Roman"/>
        </w:rPr>
        <w:t xml:space="preserve">and lays the groundwork for future advocacy efforts by establishing relationships and networks that can be leveraged at later stages. Furthermore, existing literature supports a sustained link between lobbing and recommendations made and their implementation. Based on interviews with multiple </w:t>
      </w:r>
      <w:r w:rsidR="00E23EED" w:rsidRPr="007102CB">
        <w:rPr>
          <w:rFonts w:ascii="Times New Roman" w:eastAsia="Calibri" w:hAnsi="Times New Roman" w:cs="Times New Roman"/>
        </w:rPr>
        <w:t>NG</w:t>
      </w:r>
      <w:r w:rsidRPr="007102CB">
        <w:rPr>
          <w:rFonts w:ascii="Times New Roman" w:eastAsia="Calibri" w:hAnsi="Times New Roman" w:cs="Times New Roman"/>
        </w:rPr>
        <w:t xml:space="preserve">Os involved in the UPR, Storey and Oleschuk highlighted that </w:t>
      </w:r>
      <w:r w:rsidR="00E23EED" w:rsidRPr="007102CB">
        <w:rPr>
          <w:rFonts w:ascii="Times New Roman" w:eastAsia="Calibri" w:hAnsi="Times New Roman" w:cs="Times New Roman"/>
        </w:rPr>
        <w:t>NG</w:t>
      </w:r>
      <w:r w:rsidRPr="007102CB">
        <w:rPr>
          <w:rFonts w:ascii="Times New Roman" w:eastAsia="Calibri" w:hAnsi="Times New Roman" w:cs="Times New Roman"/>
        </w:rPr>
        <w:t xml:space="preserve">Os perceived lobbying </w:t>
      </w:r>
      <w:r w:rsidRPr="007102CB">
        <w:rPr>
          <w:rFonts w:ascii="Times New Roman" w:eastAsia="Calibri" w:hAnsi="Times New Roman" w:cs="Times New Roman"/>
        </w:rPr>
        <w:lastRenderedPageBreak/>
        <w:t>embassies as crucial to the implementation of recommendations.</w:t>
      </w:r>
      <w:r w:rsidR="00093FD1">
        <w:rPr>
          <w:rStyle w:val="FootnoteReference"/>
          <w:rFonts w:ascii="Times New Roman" w:eastAsia="Calibri" w:hAnsi="Times New Roman" w:cs="Times New Roman"/>
        </w:rPr>
        <w:footnoteReference w:id="73"/>
      </w:r>
      <w:r w:rsidRPr="007102CB">
        <w:rPr>
          <w:rFonts w:ascii="Times New Roman" w:eastAsia="Calibri" w:hAnsi="Times New Roman" w:cs="Times New Roman"/>
        </w:rPr>
        <w:t xml:space="preserve"> Albeit with the caveat that politically sensitive issues were less likely to resonate.  Moreover, tangible evidence demonstrates lobbying’s influence on recommendations made by Member States. For instance, Traglia’s study revealed that following the submission of their stakeholder report, the NGO LWF Myanmar directly lobbied the Missions of Canada, Namibia, the USA of Australia. Additionally, the organisation travelled to Sweden and Germany to meet with their respective Ministry of Foreign Affairs. </w:t>
      </w:r>
      <w:r w:rsidR="0000633D" w:rsidRPr="007102CB">
        <w:rPr>
          <w:rFonts w:ascii="Times New Roman" w:eastAsia="Calibri" w:hAnsi="Times New Roman" w:cs="Times New Roman"/>
        </w:rPr>
        <w:t>Consequently</w:t>
      </w:r>
      <w:r w:rsidRPr="007102CB">
        <w:rPr>
          <w:rFonts w:ascii="Times New Roman" w:eastAsia="Calibri" w:hAnsi="Times New Roman" w:cs="Times New Roman"/>
        </w:rPr>
        <w:t xml:space="preserve">, several recommendations were made by these Member States </w:t>
      </w:r>
      <w:r w:rsidR="00D80E2F" w:rsidRPr="007102CB">
        <w:rPr>
          <w:rFonts w:ascii="Times New Roman" w:eastAsia="Calibri" w:hAnsi="Times New Roman" w:cs="Times New Roman"/>
        </w:rPr>
        <w:t>influenced by</w:t>
      </w:r>
      <w:r w:rsidRPr="007102CB">
        <w:rPr>
          <w:rFonts w:ascii="Times New Roman" w:eastAsia="Calibri" w:hAnsi="Times New Roman" w:cs="Times New Roman"/>
        </w:rPr>
        <w:t xml:space="preserve"> LWF Myanmar</w:t>
      </w:r>
      <w:r w:rsidR="00D80E2F" w:rsidRPr="007102CB">
        <w:rPr>
          <w:rFonts w:ascii="Times New Roman" w:eastAsia="Calibri" w:hAnsi="Times New Roman" w:cs="Times New Roman"/>
        </w:rPr>
        <w:t>’s</w:t>
      </w:r>
      <w:r w:rsidRPr="007102CB">
        <w:rPr>
          <w:rFonts w:ascii="Times New Roman" w:eastAsia="Calibri" w:hAnsi="Times New Roman" w:cs="Times New Roman"/>
        </w:rPr>
        <w:t xml:space="preserve"> advocacy, many of which were later accepted by the government of Myanmar.</w:t>
      </w:r>
      <w:r w:rsidR="00C24468">
        <w:rPr>
          <w:rStyle w:val="FootnoteReference"/>
          <w:rFonts w:ascii="Times New Roman" w:eastAsia="Calibri" w:hAnsi="Times New Roman" w:cs="Times New Roman"/>
        </w:rPr>
        <w:footnoteReference w:id="74"/>
      </w:r>
    </w:p>
    <w:p w14:paraId="581322D4" w14:textId="0CF25763" w:rsidR="4B086B0F" w:rsidRPr="007102CB" w:rsidRDefault="3073AAAE" w:rsidP="00770443">
      <w:pPr>
        <w:spacing w:before="100" w:beforeAutospacing="1" w:after="100" w:afterAutospacing="1" w:line="276" w:lineRule="auto"/>
        <w:jc w:val="both"/>
        <w:rPr>
          <w:rFonts w:ascii="Times New Roman" w:eastAsia="Calibri" w:hAnsi="Times New Roman" w:cs="Times New Roman"/>
          <w:lang w:val="en-AU"/>
        </w:rPr>
      </w:pPr>
      <w:r w:rsidRPr="007102CB">
        <w:rPr>
          <w:rFonts w:ascii="Times New Roman" w:eastAsia="Calibri" w:hAnsi="Times New Roman" w:cs="Times New Roman"/>
        </w:rPr>
        <w:t>In Kenya, the engagement of the KSC in pre-review consultation meetings provide</w:t>
      </w:r>
      <w:r w:rsidR="00D80E2F" w:rsidRPr="007102CB">
        <w:rPr>
          <w:rFonts w:ascii="Times New Roman" w:eastAsia="Calibri" w:hAnsi="Times New Roman" w:cs="Times New Roman"/>
        </w:rPr>
        <w:t>d</w:t>
      </w:r>
      <w:r w:rsidRPr="007102CB">
        <w:rPr>
          <w:rFonts w:ascii="Times New Roman" w:eastAsia="Calibri" w:hAnsi="Times New Roman" w:cs="Times New Roman"/>
        </w:rPr>
        <w:t xml:space="preserve"> NGO stakeholders insight into the types of recommendations to prioritise in their lobbying </w:t>
      </w:r>
      <w:r w:rsidR="00D80E2F" w:rsidRPr="007102CB">
        <w:rPr>
          <w:rFonts w:ascii="Times New Roman" w:eastAsia="Calibri" w:hAnsi="Times New Roman" w:cs="Times New Roman"/>
        </w:rPr>
        <w:t xml:space="preserve">efforts and </w:t>
      </w:r>
      <w:r w:rsidRPr="007102CB">
        <w:rPr>
          <w:rFonts w:ascii="Times New Roman" w:eastAsia="Calibri" w:hAnsi="Times New Roman" w:cs="Times New Roman"/>
        </w:rPr>
        <w:t>allow</w:t>
      </w:r>
      <w:r w:rsidR="00D80E2F" w:rsidRPr="007102CB">
        <w:rPr>
          <w:rFonts w:ascii="Times New Roman" w:eastAsia="Calibri" w:hAnsi="Times New Roman" w:cs="Times New Roman"/>
        </w:rPr>
        <w:t>ed</w:t>
      </w:r>
      <w:r w:rsidRPr="007102CB">
        <w:rPr>
          <w:rFonts w:ascii="Times New Roman" w:eastAsia="Calibri" w:hAnsi="Times New Roman" w:cs="Times New Roman"/>
        </w:rPr>
        <w:t xml:space="preserve"> for a more streamlined and effective lobbying strategy.</w:t>
      </w:r>
      <w:r w:rsidR="0077688D">
        <w:rPr>
          <w:rStyle w:val="FootnoteReference"/>
          <w:rFonts w:ascii="Times New Roman" w:eastAsia="Calibri" w:hAnsi="Times New Roman" w:cs="Times New Roman"/>
        </w:rPr>
        <w:footnoteReference w:id="75"/>
      </w:r>
      <w:r w:rsidRPr="007102CB">
        <w:rPr>
          <w:rFonts w:ascii="Times New Roman" w:eastAsia="Calibri" w:hAnsi="Times New Roman" w:cs="Times New Roman"/>
          <w:vertAlign w:val="superscript"/>
        </w:rPr>
        <w:t xml:space="preserve"> </w:t>
      </w:r>
      <w:r w:rsidRPr="007102CB">
        <w:rPr>
          <w:rFonts w:ascii="Times New Roman" w:eastAsia="Calibri" w:hAnsi="Times New Roman" w:cs="Times New Roman"/>
        </w:rPr>
        <w:t>In contrast, Zambia d</w:t>
      </w:r>
      <w:r w:rsidR="00D80E2F" w:rsidRPr="007102CB">
        <w:rPr>
          <w:rFonts w:ascii="Times New Roman" w:eastAsia="Calibri" w:hAnsi="Times New Roman" w:cs="Times New Roman"/>
        </w:rPr>
        <w:t>id</w:t>
      </w:r>
      <w:r w:rsidRPr="007102CB">
        <w:rPr>
          <w:rFonts w:ascii="Times New Roman" w:eastAsia="Calibri" w:hAnsi="Times New Roman" w:cs="Times New Roman"/>
        </w:rPr>
        <w:t xml:space="preserve"> not possess a broad, consolidated national UPR coalition that participate</w:t>
      </w:r>
      <w:r w:rsidR="00D80E2F" w:rsidRPr="007102CB">
        <w:rPr>
          <w:rFonts w:ascii="Times New Roman" w:eastAsia="Calibri" w:hAnsi="Times New Roman" w:cs="Times New Roman"/>
        </w:rPr>
        <w:t>d</w:t>
      </w:r>
      <w:r w:rsidRPr="007102CB">
        <w:rPr>
          <w:rFonts w:ascii="Times New Roman" w:eastAsia="Calibri" w:hAnsi="Times New Roman" w:cs="Times New Roman"/>
        </w:rPr>
        <w:t xml:space="preserve"> in the pre-review consultations. </w:t>
      </w:r>
      <w:r w:rsidR="0035758D" w:rsidRPr="007102CB">
        <w:rPr>
          <w:rFonts w:ascii="Times New Roman" w:eastAsia="Calibri" w:hAnsi="Times New Roman" w:cs="Times New Roman"/>
        </w:rPr>
        <w:t>This was not the case with</w:t>
      </w:r>
      <w:r w:rsidRPr="007102CB">
        <w:rPr>
          <w:rFonts w:ascii="Times New Roman" w:eastAsia="Calibri" w:hAnsi="Times New Roman" w:cs="Times New Roman"/>
        </w:rPr>
        <w:t xml:space="preserve"> Zambian NGOs </w:t>
      </w:r>
      <w:r w:rsidR="00776478" w:rsidRPr="007102CB">
        <w:rPr>
          <w:rFonts w:ascii="Times New Roman" w:eastAsia="Calibri" w:hAnsi="Times New Roman" w:cs="Times New Roman"/>
        </w:rPr>
        <w:t>where such a</w:t>
      </w:r>
      <w:r w:rsidRPr="007102CB">
        <w:rPr>
          <w:rFonts w:ascii="Times New Roman" w:eastAsia="Calibri" w:hAnsi="Times New Roman" w:cs="Times New Roman"/>
        </w:rPr>
        <w:t xml:space="preserve"> lobbying </w:t>
      </w:r>
      <w:r w:rsidR="00776478" w:rsidRPr="007102CB">
        <w:rPr>
          <w:rFonts w:ascii="Times New Roman" w:eastAsia="Calibri" w:hAnsi="Times New Roman" w:cs="Times New Roman"/>
        </w:rPr>
        <w:t xml:space="preserve">strategy for </w:t>
      </w:r>
      <w:r w:rsidRPr="007102CB">
        <w:rPr>
          <w:rFonts w:ascii="Times New Roman" w:eastAsia="Calibri" w:hAnsi="Times New Roman" w:cs="Times New Roman"/>
        </w:rPr>
        <w:t xml:space="preserve">the UPR process </w:t>
      </w:r>
      <w:r w:rsidR="00776478" w:rsidRPr="007102CB">
        <w:rPr>
          <w:rFonts w:ascii="Times New Roman" w:eastAsia="Calibri" w:hAnsi="Times New Roman" w:cs="Times New Roman"/>
        </w:rPr>
        <w:t>was missing</w:t>
      </w:r>
      <w:r w:rsidRPr="007102CB">
        <w:rPr>
          <w:rFonts w:ascii="Times New Roman" w:eastAsia="Calibri" w:hAnsi="Times New Roman" w:cs="Times New Roman"/>
        </w:rPr>
        <w:t xml:space="preserve">, </w:t>
      </w:r>
      <w:r w:rsidR="00776478" w:rsidRPr="007102CB">
        <w:rPr>
          <w:rFonts w:ascii="Times New Roman" w:eastAsia="Calibri" w:hAnsi="Times New Roman" w:cs="Times New Roman"/>
        </w:rPr>
        <w:t>thereby limiting</w:t>
      </w:r>
      <w:r w:rsidRPr="007102CB">
        <w:rPr>
          <w:rFonts w:ascii="Times New Roman" w:eastAsia="Calibri" w:hAnsi="Times New Roman" w:cs="Times New Roman"/>
        </w:rPr>
        <w:t xml:space="preserve"> their </w:t>
      </w:r>
      <w:r w:rsidR="00776478" w:rsidRPr="007102CB">
        <w:rPr>
          <w:rFonts w:ascii="Times New Roman" w:eastAsia="Calibri" w:hAnsi="Times New Roman" w:cs="Times New Roman"/>
        </w:rPr>
        <w:t>avenues</w:t>
      </w:r>
      <w:r w:rsidRPr="007102CB">
        <w:rPr>
          <w:rFonts w:ascii="Times New Roman" w:eastAsia="Calibri" w:hAnsi="Times New Roman" w:cs="Times New Roman"/>
        </w:rPr>
        <w:t xml:space="preserve"> to influence the recommending states.</w:t>
      </w:r>
      <w:r w:rsidR="00B22328" w:rsidRPr="007102CB">
        <w:rPr>
          <w:rFonts w:ascii="Times New Roman" w:eastAsia="Calibri" w:hAnsi="Times New Roman" w:cs="Times New Roman"/>
        </w:rPr>
        <w:t xml:space="preserve"> </w:t>
      </w:r>
      <w:r w:rsidR="4FAEE45A" w:rsidRPr="007102CB">
        <w:rPr>
          <w:rFonts w:ascii="Times New Roman" w:eastAsia="Calibri" w:hAnsi="Times New Roman" w:cs="Times New Roman"/>
        </w:rPr>
        <w:t xml:space="preserve">The restrictive environment for NGOs in Zambia’s </w:t>
      </w:r>
      <w:r w:rsidR="00E738C7" w:rsidRPr="007102CB">
        <w:rPr>
          <w:rFonts w:ascii="Times New Roman" w:eastAsia="Calibri" w:hAnsi="Times New Roman" w:cs="Times New Roman"/>
        </w:rPr>
        <w:t xml:space="preserve">is supported </w:t>
      </w:r>
      <w:r w:rsidR="4FAEE45A" w:rsidRPr="007102CB">
        <w:rPr>
          <w:rFonts w:ascii="Times New Roman" w:eastAsia="Calibri" w:hAnsi="Times New Roman" w:cs="Times New Roman"/>
        </w:rPr>
        <w:t>by the NGO Act No.16, which has fostered a hostile and repressive atmosphere for civil society. The legislation has vastly restricted civil society space and imposed stringent penal sanctions on members of staff who violated legal requirements imposed on them</w:t>
      </w:r>
      <w:r w:rsidR="008B4DCB" w:rsidRPr="007102CB">
        <w:rPr>
          <w:rFonts w:ascii="Times New Roman" w:eastAsia="Calibri" w:hAnsi="Times New Roman" w:cs="Times New Roman"/>
        </w:rPr>
        <w:t>.</w:t>
      </w:r>
      <w:r w:rsidR="00911BD0">
        <w:rPr>
          <w:rStyle w:val="FootnoteReference"/>
          <w:rFonts w:ascii="Times New Roman" w:eastAsia="Calibri" w:hAnsi="Times New Roman" w:cs="Times New Roman"/>
        </w:rPr>
        <w:footnoteReference w:id="76"/>
      </w:r>
      <w:r w:rsidR="00EE3D9E" w:rsidRPr="007102CB">
        <w:rPr>
          <w:rFonts w:ascii="Times New Roman" w:eastAsia="Calibri" w:hAnsi="Times New Roman" w:cs="Times New Roman"/>
          <w:vertAlign w:val="superscript"/>
        </w:rPr>
        <w:t xml:space="preserve"> </w:t>
      </w:r>
      <w:r w:rsidR="008B4DCB" w:rsidRPr="007102CB">
        <w:rPr>
          <w:rFonts w:ascii="Times New Roman" w:eastAsia="Calibri" w:hAnsi="Times New Roman" w:cs="Times New Roman"/>
        </w:rPr>
        <w:t>This has contributed to hinder</w:t>
      </w:r>
      <w:r w:rsidR="4FAEE45A" w:rsidRPr="007102CB">
        <w:rPr>
          <w:rFonts w:ascii="Times New Roman" w:eastAsia="Calibri" w:hAnsi="Times New Roman" w:cs="Times New Roman"/>
        </w:rPr>
        <w:t xml:space="preserve"> both domestic and international lobbying efforts at the UPR</w:t>
      </w:r>
      <w:r w:rsidR="008B4DCB" w:rsidRPr="007102CB">
        <w:rPr>
          <w:rFonts w:ascii="Times New Roman" w:eastAsia="Calibri" w:hAnsi="Times New Roman" w:cs="Times New Roman"/>
        </w:rPr>
        <w:t xml:space="preserve"> by NGOs in Zambia</w:t>
      </w:r>
      <w:r w:rsidR="4FAEE45A" w:rsidRPr="007102CB">
        <w:rPr>
          <w:rFonts w:ascii="Times New Roman" w:eastAsia="Calibri" w:hAnsi="Times New Roman" w:cs="Times New Roman"/>
        </w:rPr>
        <w:t xml:space="preserve">. </w:t>
      </w:r>
      <w:r w:rsidR="002B6DD0" w:rsidRPr="007102CB">
        <w:rPr>
          <w:rFonts w:ascii="Times New Roman" w:eastAsia="Calibri" w:hAnsi="Times New Roman" w:cs="Times New Roman"/>
        </w:rPr>
        <w:t>This is consisted with findings by reported by the UN Secretary General</w:t>
      </w:r>
      <w:r w:rsidR="00BE7E2B" w:rsidRPr="007102CB">
        <w:rPr>
          <w:rFonts w:ascii="Times New Roman" w:eastAsia="Calibri" w:hAnsi="Times New Roman" w:cs="Times New Roman"/>
        </w:rPr>
        <w:t xml:space="preserve"> of numerous documented cases of acts of reprisals and intimidation at the domestic level against individuals and groups for cooperating with international human rights monitoring mechanisms</w:t>
      </w:r>
      <w:r w:rsidR="00CA049D" w:rsidRPr="007102CB">
        <w:rPr>
          <w:rFonts w:ascii="Times New Roman" w:eastAsia="Calibri" w:hAnsi="Times New Roman" w:cs="Times New Roman"/>
        </w:rPr>
        <w:t>.</w:t>
      </w:r>
      <w:r w:rsidR="007D07CD">
        <w:rPr>
          <w:rStyle w:val="FootnoteReference"/>
          <w:rFonts w:ascii="Times New Roman" w:eastAsia="Calibri" w:hAnsi="Times New Roman" w:cs="Times New Roman"/>
        </w:rPr>
        <w:footnoteReference w:id="77"/>
      </w:r>
      <w:r w:rsidR="001C6150" w:rsidRPr="007102CB">
        <w:rPr>
          <w:rFonts w:ascii="Times New Roman" w:eastAsia="Calibri" w:hAnsi="Times New Roman" w:cs="Times New Roman"/>
        </w:rPr>
        <w:t xml:space="preserve"> </w:t>
      </w:r>
      <w:r w:rsidR="00CA049D" w:rsidRPr="007102CB">
        <w:rPr>
          <w:rFonts w:ascii="Times New Roman" w:eastAsia="Calibri" w:hAnsi="Times New Roman" w:cs="Times New Roman"/>
        </w:rPr>
        <w:t>I</w:t>
      </w:r>
      <w:r w:rsidR="001C6150" w:rsidRPr="007102CB">
        <w:rPr>
          <w:rFonts w:ascii="Times New Roman" w:eastAsia="Calibri" w:hAnsi="Times New Roman" w:cs="Times New Roman"/>
        </w:rPr>
        <w:t xml:space="preserve">n some cases NGOs have </w:t>
      </w:r>
      <w:r w:rsidR="4FAEE45A" w:rsidRPr="007102CB">
        <w:rPr>
          <w:rFonts w:ascii="Times New Roman" w:eastAsia="Calibri" w:hAnsi="Times New Roman" w:cs="Times New Roman"/>
        </w:rPr>
        <w:t xml:space="preserve">abandoned a UPR lobbying </w:t>
      </w:r>
      <w:r w:rsidR="00CA049D" w:rsidRPr="007102CB">
        <w:rPr>
          <w:rFonts w:ascii="Times New Roman" w:eastAsia="Calibri" w:hAnsi="Times New Roman" w:cs="Times New Roman"/>
        </w:rPr>
        <w:t xml:space="preserve">strategy </w:t>
      </w:r>
      <w:r w:rsidR="4FAEE45A" w:rsidRPr="007102CB">
        <w:rPr>
          <w:rFonts w:ascii="Times New Roman" w:eastAsia="Calibri" w:hAnsi="Times New Roman" w:cs="Times New Roman"/>
        </w:rPr>
        <w:t>out of ne</w:t>
      </w:r>
      <w:r w:rsidR="0F5FDF91" w:rsidRPr="007102CB">
        <w:rPr>
          <w:rFonts w:ascii="Times New Roman" w:eastAsia="Calibri" w:hAnsi="Times New Roman" w:cs="Times New Roman"/>
        </w:rPr>
        <w:t>cessity</w:t>
      </w:r>
      <w:r w:rsidR="00CA049D" w:rsidRPr="007102CB">
        <w:rPr>
          <w:rFonts w:ascii="Times New Roman" w:eastAsia="Calibri" w:hAnsi="Times New Roman" w:cs="Times New Roman"/>
        </w:rPr>
        <w:t xml:space="preserve"> and i</w:t>
      </w:r>
      <w:r w:rsidR="004F4416" w:rsidRPr="007102CB">
        <w:rPr>
          <w:rFonts w:ascii="Times New Roman" w:eastAsia="Calibri" w:hAnsi="Times New Roman" w:cs="Times New Roman"/>
        </w:rPr>
        <w:t xml:space="preserve">nstead </w:t>
      </w:r>
      <w:r w:rsidR="05F31C01" w:rsidRPr="007102CB">
        <w:rPr>
          <w:rFonts w:ascii="Times New Roman" w:eastAsia="Calibri" w:hAnsi="Times New Roman" w:cs="Times New Roman"/>
        </w:rPr>
        <w:t>redirec</w:t>
      </w:r>
      <w:r w:rsidR="4FAEE45A" w:rsidRPr="007102CB">
        <w:rPr>
          <w:rFonts w:ascii="Times New Roman" w:eastAsia="Calibri" w:hAnsi="Times New Roman" w:cs="Times New Roman"/>
        </w:rPr>
        <w:t>t</w:t>
      </w:r>
      <w:r w:rsidR="2CCB7D53" w:rsidRPr="007102CB">
        <w:rPr>
          <w:rFonts w:ascii="Times New Roman" w:eastAsia="Calibri" w:hAnsi="Times New Roman" w:cs="Times New Roman"/>
        </w:rPr>
        <w:t>ed</w:t>
      </w:r>
      <w:r w:rsidR="4FAEE45A" w:rsidRPr="007102CB">
        <w:rPr>
          <w:rFonts w:ascii="Times New Roman" w:eastAsia="Calibri" w:hAnsi="Times New Roman" w:cs="Times New Roman"/>
        </w:rPr>
        <w:t xml:space="preserve"> their focus from lobbying </w:t>
      </w:r>
      <w:r w:rsidR="148397F4" w:rsidRPr="007102CB">
        <w:rPr>
          <w:rFonts w:ascii="Times New Roman" w:eastAsia="Calibri" w:hAnsi="Times New Roman" w:cs="Times New Roman"/>
        </w:rPr>
        <w:t>an</w:t>
      </w:r>
      <w:r w:rsidR="4FAEE45A" w:rsidRPr="007102CB">
        <w:rPr>
          <w:rFonts w:ascii="Times New Roman" w:eastAsia="Calibri" w:hAnsi="Times New Roman" w:cs="Times New Roman"/>
        </w:rPr>
        <w:t xml:space="preserve"> intransigent government to accept UPR recommendations, to</w:t>
      </w:r>
      <w:r w:rsidR="33B1801C" w:rsidRPr="007102CB">
        <w:rPr>
          <w:rFonts w:ascii="Times New Roman" w:eastAsia="Calibri" w:hAnsi="Times New Roman" w:cs="Times New Roman"/>
        </w:rPr>
        <w:t xml:space="preserve"> the more pressing pursuit of </w:t>
      </w:r>
      <w:r w:rsidR="004F4416" w:rsidRPr="007102CB">
        <w:rPr>
          <w:rFonts w:ascii="Times New Roman" w:eastAsia="Calibri" w:hAnsi="Times New Roman" w:cs="Times New Roman"/>
        </w:rPr>
        <w:t>‘</w:t>
      </w:r>
      <w:r w:rsidR="33B1801C" w:rsidRPr="007102CB">
        <w:rPr>
          <w:rFonts w:ascii="Times New Roman" w:eastAsia="Calibri" w:hAnsi="Times New Roman" w:cs="Times New Roman"/>
        </w:rPr>
        <w:t>c</w:t>
      </w:r>
      <w:r w:rsidR="4FAEE45A" w:rsidRPr="007102CB">
        <w:rPr>
          <w:rFonts w:ascii="Times New Roman" w:eastAsia="Calibri" w:hAnsi="Times New Roman" w:cs="Times New Roman"/>
        </w:rPr>
        <w:t>ountering government propaganda and avoiding challenging reprisals</w:t>
      </w:r>
      <w:r w:rsidR="00EE0D4B" w:rsidRPr="007102CB">
        <w:rPr>
          <w:rFonts w:ascii="Times New Roman" w:eastAsia="Calibri" w:hAnsi="Times New Roman" w:cs="Times New Roman"/>
        </w:rPr>
        <w:t>.</w:t>
      </w:r>
      <w:r w:rsidR="00AB03C2">
        <w:rPr>
          <w:rStyle w:val="FootnoteReference"/>
          <w:rFonts w:ascii="Times New Roman" w:eastAsia="Calibri" w:hAnsi="Times New Roman" w:cs="Times New Roman"/>
        </w:rPr>
        <w:footnoteReference w:id="78"/>
      </w:r>
      <w:r w:rsidR="00EE0D4B" w:rsidRPr="007102CB">
        <w:rPr>
          <w:rFonts w:ascii="Times New Roman" w:eastAsia="Calibri" w:hAnsi="Times New Roman" w:cs="Times New Roman"/>
        </w:rPr>
        <w:t xml:space="preserve"> </w:t>
      </w:r>
      <w:r w:rsidR="4FAEE45A" w:rsidRPr="007102CB">
        <w:rPr>
          <w:rFonts w:ascii="Times New Roman" w:eastAsia="Calibri" w:hAnsi="Times New Roman" w:cs="Times New Roman"/>
        </w:rPr>
        <w:t xml:space="preserve">This suggests that Zambia's restrictive legal and political climate could </w:t>
      </w:r>
      <w:r w:rsidR="003F5501" w:rsidRPr="007102CB">
        <w:rPr>
          <w:rFonts w:ascii="Times New Roman" w:eastAsia="Calibri" w:hAnsi="Times New Roman" w:cs="Times New Roman"/>
        </w:rPr>
        <w:t>impact on domestic NGO</w:t>
      </w:r>
      <w:r w:rsidR="4FAEE45A" w:rsidRPr="007102CB">
        <w:rPr>
          <w:rFonts w:ascii="Times New Roman" w:eastAsia="Calibri" w:hAnsi="Times New Roman" w:cs="Times New Roman"/>
        </w:rPr>
        <w:t xml:space="preserve"> lobbying strategies in the UPR.</w:t>
      </w:r>
    </w:p>
    <w:p w14:paraId="303E6065" w14:textId="19F9635C" w:rsidR="004C28B0" w:rsidRPr="007102CB" w:rsidRDefault="00AF3A67" w:rsidP="00354042">
      <w:pPr>
        <w:pStyle w:val="Heading2"/>
        <w:numPr>
          <w:ilvl w:val="0"/>
          <w:numId w:val="16"/>
        </w:numPr>
        <w:rPr>
          <w:rFonts w:ascii="Times New Roman" w:hAnsi="Times New Roman" w:cs="Times New Roman"/>
          <w:color w:val="auto"/>
        </w:rPr>
      </w:pPr>
      <w:r w:rsidRPr="007102CB">
        <w:rPr>
          <w:rFonts w:ascii="Times New Roman" w:hAnsi="Times New Roman" w:cs="Times New Roman"/>
          <w:color w:val="auto"/>
        </w:rPr>
        <w:t>Empirical and Correlational Analysis of the Relationship Between State and NGO Recommendations in the UPR Process</w:t>
      </w:r>
    </w:p>
    <w:p w14:paraId="69B870A8" w14:textId="560FF395" w:rsidR="00A50901" w:rsidRPr="007102CB" w:rsidRDefault="006D3D66"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Examining the</w:t>
      </w:r>
      <w:r w:rsidR="5E4E5D06" w:rsidRPr="007102CB">
        <w:rPr>
          <w:rFonts w:ascii="Times New Roman" w:hAnsi="Times New Roman" w:cs="Times New Roman"/>
        </w:rPr>
        <w:t xml:space="preserve"> correlation between </w:t>
      </w:r>
      <w:r w:rsidR="164569F7" w:rsidRPr="007102CB">
        <w:rPr>
          <w:rFonts w:ascii="Times New Roman" w:hAnsi="Times New Roman" w:cs="Times New Roman"/>
        </w:rPr>
        <w:t>State and NGO</w:t>
      </w:r>
      <w:r w:rsidR="5E4E5D06" w:rsidRPr="007102CB">
        <w:rPr>
          <w:rFonts w:ascii="Times New Roman" w:hAnsi="Times New Roman" w:cs="Times New Roman"/>
        </w:rPr>
        <w:t xml:space="preserve"> recommendations </w:t>
      </w:r>
      <w:r w:rsidRPr="007102CB">
        <w:rPr>
          <w:rFonts w:ascii="Times New Roman" w:hAnsi="Times New Roman" w:cs="Times New Roman"/>
        </w:rPr>
        <w:t xml:space="preserve">in the UPR process </w:t>
      </w:r>
      <w:r w:rsidR="009367F2" w:rsidRPr="007102CB">
        <w:rPr>
          <w:rFonts w:ascii="Times New Roman" w:hAnsi="Times New Roman" w:cs="Times New Roman"/>
        </w:rPr>
        <w:t>can help unpack whether</w:t>
      </w:r>
      <w:r w:rsidR="5E4E5D06" w:rsidRPr="007102CB">
        <w:rPr>
          <w:rFonts w:ascii="Times New Roman" w:hAnsi="Times New Roman" w:cs="Times New Roman"/>
        </w:rPr>
        <w:t xml:space="preserve"> NGO participation in the UPR process is </w:t>
      </w:r>
      <w:r w:rsidR="001A3315" w:rsidRPr="007102CB">
        <w:rPr>
          <w:rFonts w:ascii="Times New Roman" w:hAnsi="Times New Roman" w:cs="Times New Roman"/>
        </w:rPr>
        <w:t>meaningful</w:t>
      </w:r>
      <w:r w:rsidR="5E4E5D06" w:rsidRPr="007102CB">
        <w:rPr>
          <w:rFonts w:ascii="Times New Roman" w:hAnsi="Times New Roman" w:cs="Times New Roman"/>
        </w:rPr>
        <w:t xml:space="preserve"> and that state</w:t>
      </w:r>
      <w:r w:rsidR="164569F7" w:rsidRPr="007102CB">
        <w:rPr>
          <w:rFonts w:ascii="Times New Roman" w:hAnsi="Times New Roman" w:cs="Times New Roman"/>
        </w:rPr>
        <w:t xml:space="preserve"> </w:t>
      </w:r>
      <w:r w:rsidR="5E4E5D06" w:rsidRPr="007102CB">
        <w:rPr>
          <w:rFonts w:ascii="Times New Roman" w:hAnsi="Times New Roman" w:cs="Times New Roman"/>
        </w:rPr>
        <w:t xml:space="preserve">recommendations </w:t>
      </w:r>
      <w:r w:rsidR="009367F2" w:rsidRPr="007102CB">
        <w:rPr>
          <w:rFonts w:ascii="Times New Roman" w:hAnsi="Times New Roman" w:cs="Times New Roman"/>
        </w:rPr>
        <w:t>prioritise</w:t>
      </w:r>
      <w:r w:rsidR="5E4E5D06" w:rsidRPr="007102CB">
        <w:rPr>
          <w:rFonts w:ascii="Times New Roman" w:hAnsi="Times New Roman" w:cs="Times New Roman"/>
        </w:rPr>
        <w:t xml:space="preserve"> and address similar issues identified in NGO</w:t>
      </w:r>
      <w:r w:rsidR="164569F7" w:rsidRPr="007102CB">
        <w:rPr>
          <w:rFonts w:ascii="Times New Roman" w:hAnsi="Times New Roman" w:cs="Times New Roman"/>
        </w:rPr>
        <w:t xml:space="preserve"> </w:t>
      </w:r>
      <w:r w:rsidR="5E4E5D06" w:rsidRPr="007102CB">
        <w:rPr>
          <w:rFonts w:ascii="Times New Roman" w:hAnsi="Times New Roman" w:cs="Times New Roman"/>
        </w:rPr>
        <w:t>reports on how to improve the human rights situation on the ground. In addition,</w:t>
      </w:r>
      <w:r w:rsidR="61705C38" w:rsidRPr="007102CB">
        <w:rPr>
          <w:rFonts w:ascii="Times New Roman" w:hAnsi="Times New Roman" w:cs="Times New Roman"/>
        </w:rPr>
        <w:t xml:space="preserve"> </w:t>
      </w:r>
      <w:r w:rsidR="5E4E5D06" w:rsidRPr="007102CB">
        <w:rPr>
          <w:rFonts w:ascii="Times New Roman" w:hAnsi="Times New Roman" w:cs="Times New Roman"/>
        </w:rPr>
        <w:t xml:space="preserve">this could contribute to determining whether </w:t>
      </w:r>
      <w:r w:rsidR="2573ECB3" w:rsidRPr="007102CB">
        <w:rPr>
          <w:rFonts w:ascii="Times New Roman" w:hAnsi="Times New Roman" w:cs="Times New Roman"/>
        </w:rPr>
        <w:t>States</w:t>
      </w:r>
      <w:r w:rsidR="5E4E5D06" w:rsidRPr="007102CB">
        <w:rPr>
          <w:rFonts w:ascii="Times New Roman" w:hAnsi="Times New Roman" w:cs="Times New Roman"/>
        </w:rPr>
        <w:t xml:space="preserve"> </w:t>
      </w:r>
      <w:r w:rsidR="00352FC2" w:rsidRPr="007102CB">
        <w:rPr>
          <w:rFonts w:ascii="Times New Roman" w:hAnsi="Times New Roman" w:cs="Times New Roman"/>
        </w:rPr>
        <w:t xml:space="preserve">under review </w:t>
      </w:r>
      <w:r w:rsidR="5E4E5D06" w:rsidRPr="007102CB">
        <w:rPr>
          <w:rFonts w:ascii="Times New Roman" w:hAnsi="Times New Roman" w:cs="Times New Roman"/>
        </w:rPr>
        <w:t>indirectly avoided or</w:t>
      </w:r>
      <w:r w:rsidR="61705C38" w:rsidRPr="007102CB">
        <w:rPr>
          <w:rFonts w:ascii="Times New Roman" w:hAnsi="Times New Roman" w:cs="Times New Roman"/>
        </w:rPr>
        <w:t xml:space="preserve"> </w:t>
      </w:r>
      <w:r w:rsidR="5E4E5D06" w:rsidRPr="007102CB">
        <w:rPr>
          <w:rFonts w:ascii="Times New Roman" w:hAnsi="Times New Roman" w:cs="Times New Roman"/>
        </w:rPr>
        <w:t xml:space="preserve">engaged with NGO recommendations when </w:t>
      </w:r>
      <w:r w:rsidR="00352FC2" w:rsidRPr="007102CB">
        <w:rPr>
          <w:rFonts w:ascii="Times New Roman" w:hAnsi="Times New Roman" w:cs="Times New Roman"/>
        </w:rPr>
        <w:t>they</w:t>
      </w:r>
      <w:r w:rsidR="5E4E5D06" w:rsidRPr="007102CB">
        <w:rPr>
          <w:rFonts w:ascii="Times New Roman" w:hAnsi="Times New Roman" w:cs="Times New Roman"/>
        </w:rPr>
        <w:t xml:space="preserve"> engaged with the recommendations</w:t>
      </w:r>
      <w:r w:rsidR="61705C38" w:rsidRPr="007102CB">
        <w:rPr>
          <w:rFonts w:ascii="Times New Roman" w:hAnsi="Times New Roman" w:cs="Times New Roman"/>
        </w:rPr>
        <w:t xml:space="preserve"> </w:t>
      </w:r>
      <w:r w:rsidR="5E4E5D06" w:rsidRPr="007102CB">
        <w:rPr>
          <w:rFonts w:ascii="Times New Roman" w:hAnsi="Times New Roman" w:cs="Times New Roman"/>
        </w:rPr>
        <w:t xml:space="preserve">of </w:t>
      </w:r>
      <w:r w:rsidR="00352FC2" w:rsidRPr="007102CB">
        <w:rPr>
          <w:rFonts w:ascii="Times New Roman" w:hAnsi="Times New Roman" w:cs="Times New Roman"/>
        </w:rPr>
        <w:t>their peers in the UPR</w:t>
      </w:r>
      <w:r w:rsidR="5E4E5D06" w:rsidRPr="007102CB">
        <w:rPr>
          <w:rFonts w:ascii="Times New Roman" w:hAnsi="Times New Roman" w:cs="Times New Roman"/>
        </w:rPr>
        <w:t>.</w:t>
      </w:r>
      <w:r w:rsidR="2573ECB3" w:rsidRPr="007102CB">
        <w:rPr>
          <w:rFonts w:ascii="Times New Roman" w:hAnsi="Times New Roman" w:cs="Times New Roman"/>
        </w:rPr>
        <w:t xml:space="preserve"> </w:t>
      </w:r>
      <w:r w:rsidR="57581F5A" w:rsidRPr="007102CB">
        <w:rPr>
          <w:rFonts w:ascii="Times New Roman" w:hAnsi="Times New Roman" w:cs="Times New Roman"/>
        </w:rPr>
        <w:t>As we mentioned at the outset of this paper, States</w:t>
      </w:r>
      <w:r w:rsidR="09190762" w:rsidRPr="007102CB">
        <w:rPr>
          <w:rFonts w:ascii="Times New Roman" w:hAnsi="Times New Roman" w:cs="Times New Roman"/>
        </w:rPr>
        <w:t xml:space="preserve"> are the </w:t>
      </w:r>
      <w:r w:rsidR="09190762" w:rsidRPr="007102CB">
        <w:rPr>
          <w:rFonts w:ascii="Times New Roman" w:hAnsi="Times New Roman" w:cs="Times New Roman"/>
        </w:rPr>
        <w:lastRenderedPageBreak/>
        <w:t xml:space="preserve">primary players in the UPR process and can only respond to recommendations made by other </w:t>
      </w:r>
      <w:r w:rsidR="238DF12F" w:rsidRPr="007102CB">
        <w:rPr>
          <w:rFonts w:ascii="Times New Roman" w:hAnsi="Times New Roman" w:cs="Times New Roman"/>
        </w:rPr>
        <w:t>S</w:t>
      </w:r>
      <w:r w:rsidR="09190762" w:rsidRPr="007102CB">
        <w:rPr>
          <w:rFonts w:ascii="Times New Roman" w:hAnsi="Times New Roman" w:cs="Times New Roman"/>
        </w:rPr>
        <w:t>tates</w:t>
      </w:r>
      <w:r w:rsidR="002B043B" w:rsidRPr="007102CB">
        <w:rPr>
          <w:rFonts w:ascii="Times New Roman" w:hAnsi="Times New Roman" w:cs="Times New Roman"/>
        </w:rPr>
        <w:t xml:space="preserve"> (peers)</w:t>
      </w:r>
      <w:r w:rsidR="238DF12F" w:rsidRPr="007102CB">
        <w:rPr>
          <w:rFonts w:ascii="Times New Roman" w:hAnsi="Times New Roman" w:cs="Times New Roman"/>
        </w:rPr>
        <w:t>.</w:t>
      </w:r>
      <w:r w:rsidR="52A69034" w:rsidRPr="007102CB">
        <w:rPr>
          <w:rFonts w:ascii="Times New Roman" w:hAnsi="Times New Roman" w:cs="Times New Roman"/>
        </w:rPr>
        <w:t xml:space="preserve"> </w:t>
      </w:r>
      <w:r w:rsidR="5371C242" w:rsidRPr="007102CB">
        <w:rPr>
          <w:rFonts w:ascii="Times New Roman" w:hAnsi="Times New Roman" w:cs="Times New Roman"/>
        </w:rPr>
        <w:t xml:space="preserve">These </w:t>
      </w:r>
      <w:r w:rsidR="1690D4CC" w:rsidRPr="007102CB">
        <w:rPr>
          <w:rFonts w:ascii="Times New Roman" w:hAnsi="Times New Roman" w:cs="Times New Roman"/>
        </w:rPr>
        <w:t>state-to-state recommendations</w:t>
      </w:r>
      <w:r w:rsidR="6D632844" w:rsidRPr="007102CB">
        <w:rPr>
          <w:rFonts w:ascii="Times New Roman" w:hAnsi="Times New Roman" w:cs="Times New Roman"/>
        </w:rPr>
        <w:t xml:space="preserve">, while they may address genuine human rights concerns at the domestic level, </w:t>
      </w:r>
      <w:r w:rsidR="4A3ABC58" w:rsidRPr="007102CB">
        <w:rPr>
          <w:rFonts w:ascii="Times New Roman" w:hAnsi="Times New Roman" w:cs="Times New Roman"/>
        </w:rPr>
        <w:t xml:space="preserve">often reflect diplomatic considerations, </w:t>
      </w:r>
      <w:r w:rsidR="48444F09" w:rsidRPr="007102CB">
        <w:rPr>
          <w:rFonts w:ascii="Times New Roman" w:hAnsi="Times New Roman" w:cs="Times New Roman"/>
        </w:rPr>
        <w:t>bilateral relations, and geopolitical interests.</w:t>
      </w:r>
      <w:r w:rsidR="00582FFF">
        <w:rPr>
          <w:rStyle w:val="FootnoteReference"/>
          <w:rFonts w:ascii="Times New Roman" w:hAnsi="Times New Roman" w:cs="Times New Roman"/>
        </w:rPr>
        <w:footnoteReference w:id="79"/>
      </w:r>
      <w:r w:rsidR="48444F09" w:rsidRPr="007102CB">
        <w:rPr>
          <w:rFonts w:ascii="Times New Roman" w:hAnsi="Times New Roman" w:cs="Times New Roman"/>
        </w:rPr>
        <w:t xml:space="preserve"> </w:t>
      </w:r>
      <w:r w:rsidR="52A69034" w:rsidRPr="007102CB">
        <w:rPr>
          <w:rFonts w:ascii="Times New Roman" w:hAnsi="Times New Roman" w:cs="Times New Roman"/>
        </w:rPr>
        <w:t xml:space="preserve">NGO </w:t>
      </w:r>
      <w:r w:rsidR="6F25FE4B" w:rsidRPr="007102CB">
        <w:rPr>
          <w:rFonts w:ascii="Times New Roman" w:hAnsi="Times New Roman" w:cs="Times New Roman"/>
        </w:rPr>
        <w:t xml:space="preserve">submissions to the UPR process can </w:t>
      </w:r>
      <w:r w:rsidR="07673625" w:rsidRPr="007102CB">
        <w:rPr>
          <w:rFonts w:ascii="Times New Roman" w:hAnsi="Times New Roman" w:cs="Times New Roman"/>
        </w:rPr>
        <w:t xml:space="preserve">help bring </w:t>
      </w:r>
      <w:r w:rsidR="117330C8" w:rsidRPr="007102CB">
        <w:rPr>
          <w:rFonts w:ascii="Times New Roman" w:hAnsi="Times New Roman" w:cs="Times New Roman"/>
        </w:rPr>
        <w:t>to the international agenda</w:t>
      </w:r>
      <w:r w:rsidR="07673625" w:rsidRPr="007102CB">
        <w:rPr>
          <w:rFonts w:ascii="Times New Roman" w:hAnsi="Times New Roman" w:cs="Times New Roman"/>
        </w:rPr>
        <w:t xml:space="preserve"> human rights concerns </w:t>
      </w:r>
      <w:r w:rsidR="117330C8" w:rsidRPr="007102CB">
        <w:rPr>
          <w:rFonts w:ascii="Times New Roman" w:hAnsi="Times New Roman" w:cs="Times New Roman"/>
        </w:rPr>
        <w:t>that states might overlook or deliberately ignore</w:t>
      </w:r>
      <w:r w:rsidR="44B2AED4" w:rsidRPr="007102CB">
        <w:rPr>
          <w:rFonts w:ascii="Times New Roman" w:hAnsi="Times New Roman" w:cs="Times New Roman"/>
        </w:rPr>
        <w:t xml:space="preserve">. NGOs, unburdened by diplomatic or political constraints, </w:t>
      </w:r>
      <w:r w:rsidR="02D55002" w:rsidRPr="007102CB">
        <w:rPr>
          <w:rFonts w:ascii="Times New Roman" w:hAnsi="Times New Roman" w:cs="Times New Roman"/>
        </w:rPr>
        <w:t>often provide more candid and critical assessment of the domestic human rights situation</w:t>
      </w:r>
      <w:r w:rsidR="102DB0EA" w:rsidRPr="007102CB">
        <w:rPr>
          <w:rFonts w:ascii="Times New Roman" w:hAnsi="Times New Roman" w:cs="Times New Roman"/>
        </w:rPr>
        <w:t xml:space="preserve">. </w:t>
      </w:r>
      <w:r w:rsidR="6D002F5D" w:rsidRPr="007102CB">
        <w:rPr>
          <w:rFonts w:ascii="Times New Roman" w:hAnsi="Times New Roman" w:cs="Times New Roman"/>
        </w:rPr>
        <w:t xml:space="preserve"> Understanding the interplay</w:t>
      </w:r>
      <w:r w:rsidR="5686F9BC" w:rsidRPr="007102CB">
        <w:rPr>
          <w:rFonts w:ascii="Times New Roman" w:hAnsi="Times New Roman" w:cs="Times New Roman"/>
        </w:rPr>
        <w:t xml:space="preserve"> between State and NGO recommendations in the UPR process</w:t>
      </w:r>
      <w:r w:rsidR="215DE405" w:rsidRPr="007102CB">
        <w:rPr>
          <w:rFonts w:ascii="Times New Roman" w:hAnsi="Times New Roman" w:cs="Times New Roman"/>
        </w:rPr>
        <w:t xml:space="preserve"> can </w:t>
      </w:r>
      <w:r w:rsidR="0F7A84C0" w:rsidRPr="007102CB">
        <w:rPr>
          <w:rFonts w:ascii="Times New Roman" w:hAnsi="Times New Roman" w:cs="Times New Roman"/>
        </w:rPr>
        <w:t xml:space="preserve">contribute to a more </w:t>
      </w:r>
      <w:r w:rsidR="45432FB5" w:rsidRPr="007102CB">
        <w:rPr>
          <w:rFonts w:ascii="Times New Roman" w:hAnsi="Times New Roman" w:cs="Times New Roman"/>
        </w:rPr>
        <w:t>robust interactive dialogue within the UPR</w:t>
      </w:r>
      <w:r w:rsidR="3B17A466" w:rsidRPr="007102CB">
        <w:rPr>
          <w:rFonts w:ascii="Times New Roman" w:hAnsi="Times New Roman" w:cs="Times New Roman"/>
        </w:rPr>
        <w:t xml:space="preserve"> and help NGO i</w:t>
      </w:r>
      <w:r w:rsidR="32ECCD68" w:rsidRPr="007102CB">
        <w:rPr>
          <w:rFonts w:ascii="Times New Roman" w:hAnsi="Times New Roman" w:cs="Times New Roman"/>
        </w:rPr>
        <w:t>dentify effective strategies for influencing state recommendations</w:t>
      </w:r>
      <w:r w:rsidR="116F43F9" w:rsidRPr="007102CB">
        <w:rPr>
          <w:rFonts w:ascii="Times New Roman" w:hAnsi="Times New Roman" w:cs="Times New Roman"/>
        </w:rPr>
        <w:t xml:space="preserve">. State endorsement of NGO recommendations can </w:t>
      </w:r>
      <w:r w:rsidR="40B9A60F" w:rsidRPr="007102CB">
        <w:rPr>
          <w:rFonts w:ascii="Times New Roman" w:hAnsi="Times New Roman" w:cs="Times New Roman"/>
        </w:rPr>
        <w:t xml:space="preserve">bring additional legitimacy </w:t>
      </w:r>
      <w:r w:rsidR="3B0092D7" w:rsidRPr="007102CB">
        <w:rPr>
          <w:rFonts w:ascii="Times New Roman" w:hAnsi="Times New Roman" w:cs="Times New Roman"/>
        </w:rPr>
        <w:t>to the recommendation</w:t>
      </w:r>
      <w:r w:rsidR="00511A31" w:rsidRPr="007102CB">
        <w:rPr>
          <w:rFonts w:ascii="Times New Roman" w:hAnsi="Times New Roman" w:cs="Times New Roman"/>
        </w:rPr>
        <w:t>s</w:t>
      </w:r>
      <w:r w:rsidR="3B0092D7" w:rsidRPr="007102CB">
        <w:rPr>
          <w:rFonts w:ascii="Times New Roman" w:hAnsi="Times New Roman" w:cs="Times New Roman"/>
        </w:rPr>
        <w:t xml:space="preserve"> and increase the pressure for their implementation. </w:t>
      </w:r>
      <w:r w:rsidR="00D906D3" w:rsidRPr="007102CB">
        <w:rPr>
          <w:rFonts w:ascii="Times New Roman" w:hAnsi="Times New Roman" w:cs="Times New Roman"/>
        </w:rPr>
        <w:t xml:space="preserve">Also, while there has been criticisms of the vagueness and lack of specificity </w:t>
      </w:r>
      <w:r w:rsidR="003671C9" w:rsidRPr="007102CB">
        <w:rPr>
          <w:rFonts w:ascii="Times New Roman" w:hAnsi="Times New Roman" w:cs="Times New Roman"/>
        </w:rPr>
        <w:t xml:space="preserve">in many state UPR recommendations, it is important to also evaluate </w:t>
      </w:r>
      <w:r w:rsidR="008532DB" w:rsidRPr="007102CB">
        <w:rPr>
          <w:rFonts w:ascii="Times New Roman" w:hAnsi="Times New Roman" w:cs="Times New Roman"/>
        </w:rPr>
        <w:t xml:space="preserve">whether NGO UPR recommendations are equally infected by vagueness and lack of specificity. </w:t>
      </w:r>
      <w:r w:rsidR="00F831F5" w:rsidRPr="007102CB">
        <w:rPr>
          <w:rFonts w:ascii="Times New Roman" w:hAnsi="Times New Roman" w:cs="Times New Roman"/>
        </w:rPr>
        <w:t>If the goal of NGO advocacy in the UPR process is to influence sta</w:t>
      </w:r>
      <w:r w:rsidR="00C320CE" w:rsidRPr="007102CB">
        <w:rPr>
          <w:rFonts w:ascii="Times New Roman" w:hAnsi="Times New Roman" w:cs="Times New Roman"/>
        </w:rPr>
        <w:t xml:space="preserve">te peer recommendations and the outcome of the review process, </w:t>
      </w:r>
      <w:r w:rsidR="0029126F" w:rsidRPr="007102CB">
        <w:rPr>
          <w:rFonts w:ascii="Times New Roman" w:hAnsi="Times New Roman" w:cs="Times New Roman"/>
        </w:rPr>
        <w:t>then it</w:t>
      </w:r>
      <w:r w:rsidR="004F1F0E" w:rsidRPr="007102CB">
        <w:rPr>
          <w:rFonts w:ascii="Times New Roman" w:hAnsi="Times New Roman" w:cs="Times New Roman"/>
        </w:rPr>
        <w:t xml:space="preserve"> is vital that the </w:t>
      </w:r>
      <w:r w:rsidR="00C8574E" w:rsidRPr="007102CB">
        <w:rPr>
          <w:rFonts w:ascii="Times New Roman" w:hAnsi="Times New Roman" w:cs="Times New Roman"/>
        </w:rPr>
        <w:t xml:space="preserve">set of </w:t>
      </w:r>
      <w:r w:rsidR="004F1F0E" w:rsidRPr="007102CB">
        <w:rPr>
          <w:rFonts w:ascii="Times New Roman" w:hAnsi="Times New Roman" w:cs="Times New Roman"/>
        </w:rPr>
        <w:t>recommendations</w:t>
      </w:r>
      <w:r w:rsidR="00C8574E" w:rsidRPr="007102CB">
        <w:rPr>
          <w:rFonts w:ascii="Times New Roman" w:hAnsi="Times New Roman" w:cs="Times New Roman"/>
        </w:rPr>
        <w:t xml:space="preserve"> NGOs are lobbying states to make </w:t>
      </w:r>
      <w:r w:rsidR="00462755" w:rsidRPr="007102CB">
        <w:rPr>
          <w:rFonts w:ascii="Times New Roman" w:hAnsi="Times New Roman" w:cs="Times New Roman"/>
        </w:rPr>
        <w:t xml:space="preserve">are </w:t>
      </w:r>
      <w:r w:rsidR="00AE37A7" w:rsidRPr="007102CB">
        <w:rPr>
          <w:rFonts w:ascii="Times New Roman" w:hAnsi="Times New Roman" w:cs="Times New Roman"/>
        </w:rPr>
        <w:t xml:space="preserve">specific </w:t>
      </w:r>
      <w:r w:rsidR="0029126F" w:rsidRPr="007102CB">
        <w:rPr>
          <w:rFonts w:ascii="Times New Roman" w:hAnsi="Times New Roman" w:cs="Times New Roman"/>
        </w:rPr>
        <w:t xml:space="preserve">and concrete enough to be implemented. </w:t>
      </w:r>
    </w:p>
    <w:p w14:paraId="791BEBE8" w14:textId="626507C6" w:rsidR="00795032" w:rsidRPr="007102CB" w:rsidRDefault="007F5650"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To understand th</w:t>
      </w:r>
      <w:r w:rsidR="006C448C" w:rsidRPr="007102CB">
        <w:rPr>
          <w:rFonts w:ascii="Times New Roman" w:hAnsi="Times New Roman" w:cs="Times New Roman"/>
        </w:rPr>
        <w:t>e</w:t>
      </w:r>
      <w:r w:rsidRPr="007102CB">
        <w:rPr>
          <w:rFonts w:ascii="Times New Roman" w:hAnsi="Times New Roman" w:cs="Times New Roman"/>
        </w:rPr>
        <w:t xml:space="preserve"> relationship</w:t>
      </w:r>
      <w:r w:rsidR="006C448C" w:rsidRPr="007102CB">
        <w:rPr>
          <w:rFonts w:ascii="Times New Roman" w:hAnsi="Times New Roman" w:cs="Times New Roman"/>
        </w:rPr>
        <w:t xml:space="preserve"> between state and NGO recommendations in the UPR process</w:t>
      </w:r>
      <w:r w:rsidRPr="007102CB">
        <w:rPr>
          <w:rFonts w:ascii="Times New Roman" w:hAnsi="Times New Roman" w:cs="Times New Roman"/>
        </w:rPr>
        <w:t xml:space="preserve">, we </w:t>
      </w:r>
      <w:r w:rsidR="001E6518" w:rsidRPr="007102CB">
        <w:rPr>
          <w:rFonts w:ascii="Times New Roman" w:hAnsi="Times New Roman" w:cs="Times New Roman"/>
        </w:rPr>
        <w:t xml:space="preserve">analysed the </w:t>
      </w:r>
      <w:r w:rsidR="002F6E53" w:rsidRPr="007102CB">
        <w:rPr>
          <w:rFonts w:ascii="Times New Roman" w:hAnsi="Times New Roman" w:cs="Times New Roman"/>
        </w:rPr>
        <w:t>s</w:t>
      </w:r>
      <w:r w:rsidR="001E6518" w:rsidRPr="007102CB">
        <w:rPr>
          <w:rFonts w:ascii="Times New Roman" w:hAnsi="Times New Roman" w:cs="Times New Roman"/>
        </w:rPr>
        <w:t xml:space="preserve">tate and NGO </w:t>
      </w:r>
      <w:r w:rsidR="00922518" w:rsidRPr="007102CB">
        <w:rPr>
          <w:rFonts w:ascii="Times New Roman" w:hAnsi="Times New Roman" w:cs="Times New Roman"/>
        </w:rPr>
        <w:t xml:space="preserve">UPR </w:t>
      </w:r>
      <w:r w:rsidR="001E6518" w:rsidRPr="007102CB">
        <w:rPr>
          <w:rFonts w:ascii="Times New Roman" w:hAnsi="Times New Roman" w:cs="Times New Roman"/>
        </w:rPr>
        <w:t xml:space="preserve">recommendations </w:t>
      </w:r>
      <w:r w:rsidR="00922518" w:rsidRPr="007102CB">
        <w:rPr>
          <w:rFonts w:ascii="Times New Roman" w:hAnsi="Times New Roman" w:cs="Times New Roman"/>
        </w:rPr>
        <w:t xml:space="preserve">made to </w:t>
      </w:r>
      <w:r w:rsidR="0056321D" w:rsidRPr="007102CB">
        <w:rPr>
          <w:rFonts w:ascii="Times New Roman" w:hAnsi="Times New Roman" w:cs="Times New Roman"/>
        </w:rPr>
        <w:t>Kenya and Zambia</w:t>
      </w:r>
      <w:r w:rsidR="00691852" w:rsidRPr="007102CB">
        <w:rPr>
          <w:rFonts w:ascii="Times New Roman" w:hAnsi="Times New Roman" w:cs="Times New Roman"/>
        </w:rPr>
        <w:t xml:space="preserve">. </w:t>
      </w:r>
      <w:r w:rsidR="00A25BD4" w:rsidRPr="007102CB">
        <w:rPr>
          <w:rFonts w:ascii="Times New Roman" w:hAnsi="Times New Roman" w:cs="Times New Roman"/>
        </w:rPr>
        <w:t xml:space="preserve">Our goal was to determine </w:t>
      </w:r>
      <w:r w:rsidR="005B2EA0" w:rsidRPr="007102CB">
        <w:rPr>
          <w:rFonts w:ascii="Times New Roman" w:hAnsi="Times New Roman" w:cs="Times New Roman"/>
        </w:rPr>
        <w:t>whether there</w:t>
      </w:r>
      <w:r w:rsidR="00A25BD4" w:rsidRPr="007102CB">
        <w:rPr>
          <w:rFonts w:ascii="Times New Roman" w:hAnsi="Times New Roman" w:cs="Times New Roman"/>
        </w:rPr>
        <w:t xml:space="preserve"> was thematic alignment between the human rights issues raised by NGOs in their UPR recommendations and those raised by states, and if there were any differences in the quality of the two </w:t>
      </w:r>
      <w:r w:rsidR="005A36AA" w:rsidRPr="007102CB">
        <w:rPr>
          <w:rFonts w:ascii="Times New Roman" w:hAnsi="Times New Roman" w:cs="Times New Roman"/>
        </w:rPr>
        <w:t>groups</w:t>
      </w:r>
      <w:r w:rsidR="00A25BD4" w:rsidRPr="007102CB">
        <w:rPr>
          <w:rFonts w:ascii="Times New Roman" w:hAnsi="Times New Roman" w:cs="Times New Roman"/>
        </w:rPr>
        <w:t xml:space="preserve"> of recommendations. </w:t>
      </w:r>
      <w:r w:rsidR="008214E3" w:rsidRPr="007102CB">
        <w:rPr>
          <w:rFonts w:ascii="Times New Roman" w:hAnsi="Times New Roman" w:cs="Times New Roman"/>
        </w:rPr>
        <w:t xml:space="preserve">Our analysis was guided by three key questions: (1) </w:t>
      </w:r>
      <w:r w:rsidR="000F4463" w:rsidRPr="007102CB">
        <w:rPr>
          <w:rFonts w:ascii="Times New Roman" w:hAnsi="Times New Roman" w:cs="Times New Roman"/>
        </w:rPr>
        <w:t xml:space="preserve">Did states prioritise similar domestic human rights concerns as NGOs; </w:t>
      </w:r>
      <w:r w:rsidR="008214E3" w:rsidRPr="007102CB">
        <w:rPr>
          <w:rFonts w:ascii="Times New Roman" w:hAnsi="Times New Roman" w:cs="Times New Roman"/>
        </w:rPr>
        <w:t xml:space="preserve">(2) </w:t>
      </w:r>
      <w:r w:rsidR="009E1B9A" w:rsidRPr="007102CB">
        <w:rPr>
          <w:rFonts w:ascii="Times New Roman" w:hAnsi="Times New Roman" w:cs="Times New Roman"/>
        </w:rPr>
        <w:t xml:space="preserve">Did </w:t>
      </w:r>
      <w:r w:rsidR="00E957F5" w:rsidRPr="007102CB">
        <w:rPr>
          <w:rFonts w:ascii="Times New Roman" w:hAnsi="Times New Roman" w:cs="Times New Roman"/>
        </w:rPr>
        <w:t xml:space="preserve">NGO </w:t>
      </w:r>
      <w:r w:rsidR="00282ED4" w:rsidRPr="007102CB">
        <w:rPr>
          <w:rFonts w:ascii="Times New Roman" w:hAnsi="Times New Roman" w:cs="Times New Roman"/>
        </w:rPr>
        <w:t>UPR engagement strategies</w:t>
      </w:r>
      <w:r w:rsidR="00553DAD" w:rsidRPr="007102CB">
        <w:rPr>
          <w:rFonts w:ascii="Times New Roman" w:hAnsi="Times New Roman" w:cs="Times New Roman"/>
        </w:rPr>
        <w:t xml:space="preserve"> </w:t>
      </w:r>
      <w:r w:rsidR="00282ED4" w:rsidRPr="007102CB">
        <w:rPr>
          <w:rFonts w:ascii="Times New Roman" w:hAnsi="Times New Roman" w:cs="Times New Roman"/>
        </w:rPr>
        <w:t>impact on the extent of alignment between state and NGO recommendations</w:t>
      </w:r>
      <w:r w:rsidR="008214E3" w:rsidRPr="007102CB">
        <w:rPr>
          <w:rFonts w:ascii="Times New Roman" w:hAnsi="Times New Roman" w:cs="Times New Roman"/>
        </w:rPr>
        <w:t xml:space="preserve">? (3) </w:t>
      </w:r>
      <w:r w:rsidR="00BB43E2" w:rsidRPr="007102CB">
        <w:rPr>
          <w:rFonts w:ascii="Times New Roman" w:hAnsi="Times New Roman" w:cs="Times New Roman"/>
        </w:rPr>
        <w:t xml:space="preserve">what was the quality of both </w:t>
      </w:r>
      <w:r w:rsidR="005A36AA" w:rsidRPr="007102CB">
        <w:rPr>
          <w:rFonts w:ascii="Times New Roman" w:hAnsi="Times New Roman" w:cs="Times New Roman"/>
        </w:rPr>
        <w:t xml:space="preserve">groups of recommendations. </w:t>
      </w:r>
    </w:p>
    <w:p w14:paraId="54499805" w14:textId="410FF5BE" w:rsidR="00B66D84" w:rsidRPr="007102CB" w:rsidRDefault="4651D574" w:rsidP="7506401F">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Three criteria guided </w:t>
      </w:r>
      <w:r w:rsidR="1C5493F6" w:rsidRPr="007102CB">
        <w:rPr>
          <w:rFonts w:ascii="Times New Roman" w:hAnsi="Times New Roman" w:cs="Times New Roman"/>
        </w:rPr>
        <w:t xml:space="preserve">our selection of Kenya and Zambia as case studies </w:t>
      </w:r>
      <w:r w:rsidR="0069019C" w:rsidRPr="007102CB">
        <w:rPr>
          <w:rFonts w:ascii="Times New Roman" w:hAnsi="Times New Roman" w:cs="Times New Roman"/>
        </w:rPr>
        <w:t xml:space="preserve">- </w:t>
      </w:r>
      <w:r w:rsidR="005B2EA0" w:rsidRPr="007102CB">
        <w:rPr>
          <w:rFonts w:ascii="Times New Roman" w:hAnsi="Times New Roman" w:cs="Times New Roman"/>
        </w:rPr>
        <w:t>e</w:t>
      </w:r>
      <w:r w:rsidR="0069019C" w:rsidRPr="007102CB">
        <w:rPr>
          <w:rFonts w:ascii="Times New Roman" w:hAnsi="Times New Roman" w:cs="Times New Roman"/>
        </w:rPr>
        <w:t>xistence</w:t>
      </w:r>
      <w:r w:rsidR="1C5493F6" w:rsidRPr="007102CB">
        <w:rPr>
          <w:rFonts w:ascii="Times New Roman" w:hAnsi="Times New Roman" w:cs="Times New Roman"/>
        </w:rPr>
        <w:t xml:space="preserve"> of a national UPR coalition</w:t>
      </w:r>
      <w:r w:rsidR="0A7B8258" w:rsidRPr="007102CB">
        <w:rPr>
          <w:rFonts w:ascii="Times New Roman" w:hAnsi="Times New Roman" w:cs="Times New Roman"/>
        </w:rPr>
        <w:t xml:space="preserve">; </w:t>
      </w:r>
      <w:r w:rsidR="005B2EA0" w:rsidRPr="007102CB">
        <w:rPr>
          <w:rFonts w:ascii="Times New Roman" w:hAnsi="Times New Roman" w:cs="Times New Roman"/>
        </w:rPr>
        <w:t>p</w:t>
      </w:r>
      <w:r w:rsidR="1C5493F6" w:rsidRPr="007102CB">
        <w:rPr>
          <w:rFonts w:ascii="Times New Roman" w:hAnsi="Times New Roman" w:cs="Times New Roman"/>
        </w:rPr>
        <w:t xml:space="preserve">articipation in </w:t>
      </w:r>
      <w:r w:rsidR="0A7B8258" w:rsidRPr="007102CB">
        <w:rPr>
          <w:rFonts w:ascii="Times New Roman" w:hAnsi="Times New Roman" w:cs="Times New Roman"/>
        </w:rPr>
        <w:t>p</w:t>
      </w:r>
      <w:r w:rsidR="1C5493F6" w:rsidRPr="007102CB">
        <w:rPr>
          <w:rFonts w:ascii="Times New Roman" w:hAnsi="Times New Roman" w:cs="Times New Roman"/>
        </w:rPr>
        <w:t>re-review session</w:t>
      </w:r>
      <w:r w:rsidR="0A7B8258" w:rsidRPr="007102CB">
        <w:rPr>
          <w:rFonts w:ascii="Times New Roman" w:hAnsi="Times New Roman" w:cs="Times New Roman"/>
        </w:rPr>
        <w:t>/side events</w:t>
      </w:r>
      <w:r w:rsidR="662C0FA8" w:rsidRPr="007102CB">
        <w:rPr>
          <w:rFonts w:ascii="Times New Roman" w:hAnsi="Times New Roman" w:cs="Times New Roman"/>
        </w:rPr>
        <w:t xml:space="preserve"> in Geneva; and</w:t>
      </w:r>
      <w:r w:rsidR="0A7B8258" w:rsidRPr="007102CB">
        <w:rPr>
          <w:rFonts w:ascii="Times New Roman" w:hAnsi="Times New Roman" w:cs="Times New Roman"/>
        </w:rPr>
        <w:t xml:space="preserve"> </w:t>
      </w:r>
      <w:r w:rsidR="005B2EA0" w:rsidRPr="007102CB">
        <w:rPr>
          <w:rFonts w:ascii="Times New Roman" w:hAnsi="Times New Roman" w:cs="Times New Roman"/>
        </w:rPr>
        <w:t>e</w:t>
      </w:r>
      <w:r w:rsidR="1C5493F6" w:rsidRPr="007102CB">
        <w:rPr>
          <w:rFonts w:ascii="Times New Roman" w:hAnsi="Times New Roman" w:cs="Times New Roman"/>
        </w:rPr>
        <w:t xml:space="preserve">xistence of </w:t>
      </w:r>
      <w:r w:rsidR="662C0FA8" w:rsidRPr="007102CB">
        <w:rPr>
          <w:rFonts w:ascii="Times New Roman" w:hAnsi="Times New Roman" w:cs="Times New Roman"/>
        </w:rPr>
        <w:t>any UPR a</w:t>
      </w:r>
      <w:r w:rsidR="1C5493F6" w:rsidRPr="007102CB">
        <w:rPr>
          <w:rFonts w:ascii="Times New Roman" w:hAnsi="Times New Roman" w:cs="Times New Roman"/>
        </w:rPr>
        <w:t>dvocacy strategies</w:t>
      </w:r>
      <w:r w:rsidR="662C0FA8" w:rsidRPr="007102CB">
        <w:rPr>
          <w:rFonts w:ascii="Times New Roman" w:hAnsi="Times New Roman" w:cs="Times New Roman"/>
        </w:rPr>
        <w:t xml:space="preserve">. </w:t>
      </w:r>
      <w:r w:rsidR="66505628" w:rsidRPr="007102CB">
        <w:rPr>
          <w:rFonts w:ascii="Times New Roman" w:hAnsi="Times New Roman" w:cs="Times New Roman"/>
        </w:rPr>
        <w:t xml:space="preserve">Kenya had a strong national UPR coalition, </w:t>
      </w:r>
      <w:r w:rsidR="1D6F76CA" w:rsidRPr="007102CB">
        <w:rPr>
          <w:rFonts w:ascii="Times New Roman" w:hAnsi="Times New Roman" w:cs="Times New Roman"/>
        </w:rPr>
        <w:t xml:space="preserve">participated in pre-review and side events in Geneva and had a well-developed </w:t>
      </w:r>
      <w:r w:rsidR="7D554675" w:rsidRPr="007102CB">
        <w:rPr>
          <w:rFonts w:ascii="Times New Roman" w:hAnsi="Times New Roman" w:cs="Times New Roman"/>
        </w:rPr>
        <w:t xml:space="preserve">UPR advocacy strategy. Kenya is often </w:t>
      </w:r>
      <w:r w:rsidR="53E8FB13" w:rsidRPr="007102CB">
        <w:rPr>
          <w:rFonts w:ascii="Times New Roman" w:hAnsi="Times New Roman" w:cs="Times New Roman"/>
        </w:rPr>
        <w:t xml:space="preserve">cited as an example of best practice </w:t>
      </w:r>
      <w:r w:rsidR="288A4F4E" w:rsidRPr="007102CB">
        <w:rPr>
          <w:rFonts w:ascii="Times New Roman" w:hAnsi="Times New Roman" w:cs="Times New Roman"/>
        </w:rPr>
        <w:t>for NGO engagement with the UPR.</w:t>
      </w:r>
      <w:r w:rsidR="1A485724" w:rsidRPr="007102CB">
        <w:rPr>
          <w:rFonts w:ascii="Times New Roman" w:hAnsi="Times New Roman" w:cs="Times New Roman"/>
        </w:rPr>
        <w:t xml:space="preserve"> Zambia on the other hand </w:t>
      </w:r>
      <w:r w:rsidR="0AB3E507" w:rsidRPr="007102CB">
        <w:rPr>
          <w:rFonts w:ascii="Times New Roman" w:hAnsi="Times New Roman" w:cs="Times New Roman"/>
        </w:rPr>
        <w:t xml:space="preserve">had no </w:t>
      </w:r>
      <w:r w:rsidR="608F7251" w:rsidRPr="007102CB">
        <w:rPr>
          <w:rFonts w:ascii="Times New Roman" w:hAnsi="Times New Roman" w:cs="Times New Roman"/>
        </w:rPr>
        <w:t xml:space="preserve">national UPR coalition, and there </w:t>
      </w:r>
      <w:r w:rsidR="42583FFC" w:rsidRPr="007102CB">
        <w:rPr>
          <w:rFonts w:ascii="Times New Roman" w:hAnsi="Times New Roman" w:cs="Times New Roman"/>
        </w:rPr>
        <w:t xml:space="preserve">was no evidence of any well-developed UPR advocacy strategy. </w:t>
      </w:r>
      <w:r w:rsidR="5463F64C" w:rsidRPr="007102CB">
        <w:rPr>
          <w:rFonts w:ascii="Times New Roman" w:hAnsi="Times New Roman" w:cs="Times New Roman"/>
        </w:rPr>
        <w:t xml:space="preserve">This contrast </w:t>
      </w:r>
      <w:r w:rsidR="77FD4A1E" w:rsidRPr="007102CB">
        <w:rPr>
          <w:rFonts w:ascii="Times New Roman" w:hAnsi="Times New Roman" w:cs="Times New Roman"/>
        </w:rPr>
        <w:t xml:space="preserve">enabled us to be able to respond to question (2) above. For each of the two case studies, we </w:t>
      </w:r>
      <w:r w:rsidR="67A5E29A" w:rsidRPr="007102CB">
        <w:rPr>
          <w:rFonts w:ascii="Times New Roman" w:hAnsi="Times New Roman" w:cs="Times New Roman"/>
        </w:rPr>
        <w:t xml:space="preserve">collated </w:t>
      </w:r>
      <w:r w:rsidR="210092D4" w:rsidRPr="007102CB">
        <w:rPr>
          <w:rFonts w:ascii="Times New Roman" w:hAnsi="Times New Roman" w:cs="Times New Roman"/>
        </w:rPr>
        <w:t xml:space="preserve">NGO recommendations from NGO reports submitted to the UPR process </w:t>
      </w:r>
      <w:r w:rsidR="00D019D9" w:rsidRPr="007102CB">
        <w:rPr>
          <w:rFonts w:ascii="Times New Roman" w:hAnsi="Times New Roman" w:cs="Times New Roman"/>
        </w:rPr>
        <w:t>(</w:t>
      </w:r>
      <w:r w:rsidR="6269C601" w:rsidRPr="007102CB">
        <w:rPr>
          <w:rFonts w:ascii="Times New Roman" w:hAnsi="Times New Roman" w:cs="Times New Roman"/>
        </w:rPr>
        <w:t>last two cycles</w:t>
      </w:r>
      <w:r w:rsidR="00AA6560" w:rsidRPr="007102CB">
        <w:rPr>
          <w:rFonts w:ascii="Times New Roman" w:hAnsi="Times New Roman" w:cs="Times New Roman"/>
        </w:rPr>
        <w:t xml:space="preserve"> </w:t>
      </w:r>
      <w:r w:rsidR="00D019D9" w:rsidRPr="007102CB">
        <w:rPr>
          <w:rFonts w:ascii="Times New Roman" w:hAnsi="Times New Roman" w:cs="Times New Roman"/>
        </w:rPr>
        <w:t>for Kenya and last three cycles for Zambia)</w:t>
      </w:r>
      <w:r w:rsidR="6269C601" w:rsidRPr="007102CB">
        <w:rPr>
          <w:rFonts w:ascii="Times New Roman" w:hAnsi="Times New Roman" w:cs="Times New Roman"/>
        </w:rPr>
        <w:t xml:space="preserve"> of each State’s review.</w:t>
      </w:r>
      <w:r w:rsidR="00776665">
        <w:rPr>
          <w:rStyle w:val="FootnoteReference"/>
          <w:rFonts w:ascii="Times New Roman" w:hAnsi="Times New Roman" w:cs="Times New Roman"/>
        </w:rPr>
        <w:footnoteReference w:id="80"/>
      </w:r>
      <w:r w:rsidR="3CC96296" w:rsidRPr="007102CB">
        <w:rPr>
          <w:rFonts w:ascii="Times New Roman" w:hAnsi="Times New Roman" w:cs="Times New Roman"/>
        </w:rPr>
        <w:t xml:space="preserve"> We limited our analysis to the reports submitted by domestic NGOs and </w:t>
      </w:r>
      <w:r w:rsidR="00D019D9" w:rsidRPr="007102CB">
        <w:rPr>
          <w:rFonts w:ascii="Times New Roman" w:hAnsi="Times New Roman" w:cs="Times New Roman"/>
        </w:rPr>
        <w:t>d</w:t>
      </w:r>
      <w:r w:rsidR="3CC96296" w:rsidRPr="007102CB">
        <w:rPr>
          <w:rFonts w:ascii="Times New Roman" w:hAnsi="Times New Roman" w:cs="Times New Roman"/>
        </w:rPr>
        <w:t>omestic NGOs in coalition with</w:t>
      </w:r>
      <w:r w:rsidR="138F70B6" w:rsidRPr="007102CB">
        <w:rPr>
          <w:rFonts w:ascii="Times New Roman" w:hAnsi="Times New Roman" w:cs="Times New Roman"/>
        </w:rPr>
        <w:t xml:space="preserve"> </w:t>
      </w:r>
      <w:r w:rsidR="00D019D9" w:rsidRPr="007102CB">
        <w:rPr>
          <w:rFonts w:ascii="Times New Roman" w:hAnsi="Times New Roman" w:cs="Times New Roman"/>
        </w:rPr>
        <w:t>I</w:t>
      </w:r>
      <w:r w:rsidR="138F70B6" w:rsidRPr="007102CB">
        <w:rPr>
          <w:rFonts w:ascii="Times New Roman" w:hAnsi="Times New Roman" w:cs="Times New Roman"/>
        </w:rPr>
        <w:t xml:space="preserve">NGOs.  </w:t>
      </w:r>
      <w:r w:rsidR="52B71F2D" w:rsidRPr="007102CB">
        <w:rPr>
          <w:rFonts w:ascii="Times New Roman" w:hAnsi="Times New Roman" w:cs="Times New Roman"/>
        </w:rPr>
        <w:t xml:space="preserve">In the case of Kenya, we </w:t>
      </w:r>
      <w:r w:rsidR="1A304948" w:rsidRPr="007102CB">
        <w:rPr>
          <w:rFonts w:ascii="Times New Roman" w:hAnsi="Times New Roman" w:cs="Times New Roman"/>
        </w:rPr>
        <w:t xml:space="preserve">analysed a total of </w:t>
      </w:r>
      <w:r w:rsidR="0A762761" w:rsidRPr="007102CB">
        <w:rPr>
          <w:rFonts w:ascii="Times New Roman" w:hAnsi="Times New Roman" w:cs="Times New Roman"/>
        </w:rPr>
        <w:t>515 recommendations (cycle</w:t>
      </w:r>
      <w:r w:rsidR="456BD797" w:rsidRPr="007102CB">
        <w:rPr>
          <w:rFonts w:ascii="Times New Roman" w:hAnsi="Times New Roman" w:cs="Times New Roman"/>
        </w:rPr>
        <w:t xml:space="preserve"> 3)</w:t>
      </w:r>
      <w:r w:rsidR="45D9CC7F" w:rsidRPr="007102CB">
        <w:rPr>
          <w:rFonts w:ascii="Times New Roman" w:hAnsi="Times New Roman" w:cs="Times New Roman"/>
        </w:rPr>
        <w:t xml:space="preserve"> and </w:t>
      </w:r>
      <w:r w:rsidR="424B2505" w:rsidRPr="007102CB">
        <w:rPr>
          <w:rFonts w:ascii="Times New Roman" w:hAnsi="Times New Roman" w:cs="Times New Roman"/>
        </w:rPr>
        <w:t>250 recommendations (cycle 2)</w:t>
      </w:r>
      <w:r w:rsidR="5CF0775C" w:rsidRPr="007102CB">
        <w:rPr>
          <w:rFonts w:ascii="Times New Roman" w:hAnsi="Times New Roman" w:cs="Times New Roman"/>
        </w:rPr>
        <w:t xml:space="preserve"> gleaned from a total of </w:t>
      </w:r>
      <w:r w:rsidR="5A62E2DE" w:rsidRPr="007102CB">
        <w:rPr>
          <w:rFonts w:ascii="Times New Roman" w:hAnsi="Times New Roman" w:cs="Times New Roman"/>
        </w:rPr>
        <w:t>222</w:t>
      </w:r>
      <w:r w:rsidR="5CF0775C" w:rsidRPr="007102CB">
        <w:rPr>
          <w:rFonts w:ascii="Times New Roman" w:hAnsi="Times New Roman" w:cs="Times New Roman"/>
        </w:rPr>
        <w:t xml:space="preserve"> NGO reports. </w:t>
      </w:r>
      <w:r w:rsidR="2F0A541E" w:rsidRPr="007102CB">
        <w:rPr>
          <w:rFonts w:ascii="Times New Roman" w:hAnsi="Times New Roman" w:cs="Times New Roman"/>
        </w:rPr>
        <w:t>For</w:t>
      </w:r>
      <w:r w:rsidR="49785866" w:rsidRPr="007102CB">
        <w:rPr>
          <w:rFonts w:ascii="Times New Roman" w:hAnsi="Times New Roman" w:cs="Times New Roman"/>
        </w:rPr>
        <w:t xml:space="preserve"> Zambia, we </w:t>
      </w:r>
      <w:r w:rsidR="728C148F" w:rsidRPr="007102CB">
        <w:rPr>
          <w:rFonts w:ascii="Times New Roman" w:hAnsi="Times New Roman" w:cs="Times New Roman"/>
        </w:rPr>
        <w:t xml:space="preserve">examined </w:t>
      </w:r>
      <w:r w:rsidR="73EA0B47" w:rsidRPr="007102CB">
        <w:rPr>
          <w:rFonts w:ascii="Times New Roman" w:hAnsi="Times New Roman" w:cs="Times New Roman"/>
        </w:rPr>
        <w:t>367 NG</w:t>
      </w:r>
      <w:r w:rsidR="2F0A541E" w:rsidRPr="007102CB">
        <w:rPr>
          <w:rFonts w:ascii="Times New Roman" w:hAnsi="Times New Roman" w:cs="Times New Roman"/>
        </w:rPr>
        <w:t>O recommendations (Cycle 4)</w:t>
      </w:r>
      <w:r w:rsidR="49EFD7B7" w:rsidRPr="007102CB">
        <w:rPr>
          <w:rFonts w:ascii="Times New Roman" w:hAnsi="Times New Roman" w:cs="Times New Roman"/>
        </w:rPr>
        <w:t>,</w:t>
      </w:r>
      <w:r w:rsidR="2F0A541E" w:rsidRPr="007102CB">
        <w:rPr>
          <w:rFonts w:ascii="Times New Roman" w:hAnsi="Times New Roman" w:cs="Times New Roman"/>
        </w:rPr>
        <w:t xml:space="preserve"> </w:t>
      </w:r>
      <w:r w:rsidR="728C148F" w:rsidRPr="007102CB">
        <w:rPr>
          <w:rFonts w:ascii="Times New Roman" w:hAnsi="Times New Roman" w:cs="Times New Roman"/>
        </w:rPr>
        <w:t xml:space="preserve">157 NGO recommendations </w:t>
      </w:r>
      <w:r w:rsidR="689EB1F1" w:rsidRPr="007102CB">
        <w:rPr>
          <w:rFonts w:ascii="Times New Roman" w:hAnsi="Times New Roman" w:cs="Times New Roman"/>
        </w:rPr>
        <w:t xml:space="preserve">(cycle 3), and </w:t>
      </w:r>
      <w:r w:rsidR="64CB4CE9" w:rsidRPr="007102CB">
        <w:rPr>
          <w:rFonts w:ascii="Times New Roman" w:hAnsi="Times New Roman" w:cs="Times New Roman"/>
        </w:rPr>
        <w:t xml:space="preserve">125 (cycle 2). </w:t>
      </w:r>
      <w:r w:rsidR="00A95828">
        <w:rPr>
          <w:rFonts w:ascii="Times New Roman" w:hAnsi="Times New Roman" w:cs="Times New Roman"/>
        </w:rPr>
        <w:t xml:space="preserve">While </w:t>
      </w:r>
      <w:r w:rsidR="003B524B">
        <w:rPr>
          <w:rFonts w:ascii="Times New Roman" w:hAnsi="Times New Roman" w:cs="Times New Roman"/>
        </w:rPr>
        <w:t xml:space="preserve">the findings in this paper are limited to the </w:t>
      </w:r>
      <w:r w:rsidR="0028205D">
        <w:rPr>
          <w:rFonts w:ascii="Times New Roman" w:hAnsi="Times New Roman" w:cs="Times New Roman"/>
        </w:rPr>
        <w:lastRenderedPageBreak/>
        <w:t xml:space="preserve">experiences of the </w:t>
      </w:r>
      <w:r w:rsidR="003B524B">
        <w:rPr>
          <w:rFonts w:ascii="Times New Roman" w:hAnsi="Times New Roman" w:cs="Times New Roman"/>
        </w:rPr>
        <w:t>two states under study, t</w:t>
      </w:r>
      <w:r w:rsidR="00A95828" w:rsidRPr="00A95828">
        <w:rPr>
          <w:rFonts w:ascii="Times New Roman" w:hAnsi="Times New Roman" w:cs="Times New Roman"/>
        </w:rPr>
        <w:t xml:space="preserve">he </w:t>
      </w:r>
      <w:r w:rsidR="0028205D">
        <w:rPr>
          <w:rFonts w:ascii="Times New Roman" w:hAnsi="Times New Roman" w:cs="Times New Roman"/>
        </w:rPr>
        <w:t>analysis can be</w:t>
      </w:r>
      <w:r w:rsidR="00A95828" w:rsidRPr="00A95828">
        <w:rPr>
          <w:rFonts w:ascii="Times New Roman" w:hAnsi="Times New Roman" w:cs="Times New Roman"/>
        </w:rPr>
        <w:t xml:space="preserve"> replicable for other states</w:t>
      </w:r>
      <w:r w:rsidR="0028205D">
        <w:rPr>
          <w:rFonts w:ascii="Times New Roman" w:hAnsi="Times New Roman" w:cs="Times New Roman"/>
        </w:rPr>
        <w:t xml:space="preserve"> to </w:t>
      </w:r>
      <w:r w:rsidR="00E873F5">
        <w:rPr>
          <w:rFonts w:ascii="Times New Roman" w:hAnsi="Times New Roman" w:cs="Times New Roman"/>
        </w:rPr>
        <w:t>draw a broader conclusion.</w:t>
      </w:r>
    </w:p>
    <w:p w14:paraId="525033F5" w14:textId="3D97A86D" w:rsidR="00844C8B" w:rsidRPr="007102CB" w:rsidRDefault="3767B69B"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To assess the quality of both state and NGO recommendations, we </w:t>
      </w:r>
      <w:r w:rsidR="2AEE086D" w:rsidRPr="007102CB">
        <w:rPr>
          <w:rFonts w:ascii="Times New Roman" w:hAnsi="Times New Roman" w:cs="Times New Roman"/>
        </w:rPr>
        <w:t>adopt</w:t>
      </w:r>
      <w:r w:rsidR="00E3048D" w:rsidRPr="007102CB">
        <w:rPr>
          <w:rFonts w:ascii="Times New Roman" w:hAnsi="Times New Roman" w:cs="Times New Roman"/>
        </w:rPr>
        <w:t>ed</w:t>
      </w:r>
      <w:r w:rsidR="2AEE086D" w:rsidRPr="007102CB">
        <w:rPr>
          <w:rFonts w:ascii="Times New Roman" w:hAnsi="Times New Roman" w:cs="Times New Roman"/>
        </w:rPr>
        <w:t xml:space="preserve"> </w:t>
      </w:r>
      <w:r w:rsidR="0E9B6939" w:rsidRPr="007102CB">
        <w:rPr>
          <w:rFonts w:ascii="Times New Roman" w:hAnsi="Times New Roman" w:cs="Times New Roman"/>
        </w:rPr>
        <w:t>th</w:t>
      </w:r>
      <w:r w:rsidR="19F01BDC" w:rsidRPr="007102CB">
        <w:rPr>
          <w:rFonts w:ascii="Times New Roman" w:hAnsi="Times New Roman" w:cs="Times New Roman"/>
        </w:rPr>
        <w:t>e</w:t>
      </w:r>
      <w:r w:rsidR="122D8513" w:rsidRPr="007102CB">
        <w:rPr>
          <w:rFonts w:ascii="Times New Roman" w:hAnsi="Times New Roman" w:cs="Times New Roman"/>
        </w:rPr>
        <w:t xml:space="preserve"> classification used by UPR Info</w:t>
      </w:r>
      <w:r w:rsidR="19F01BDC" w:rsidRPr="007102CB">
        <w:rPr>
          <w:rFonts w:ascii="Times New Roman" w:hAnsi="Times New Roman" w:cs="Times New Roman"/>
        </w:rPr>
        <w:t xml:space="preserve"> </w:t>
      </w:r>
      <w:r w:rsidR="7885F363" w:rsidRPr="007102CB">
        <w:rPr>
          <w:rFonts w:ascii="Times New Roman" w:hAnsi="Times New Roman" w:cs="Times New Roman"/>
        </w:rPr>
        <w:t xml:space="preserve">which classifies recommendation into </w:t>
      </w:r>
      <w:r w:rsidR="4BE615FD" w:rsidRPr="007102CB">
        <w:rPr>
          <w:rFonts w:ascii="Times New Roman" w:hAnsi="Times New Roman" w:cs="Times New Roman"/>
        </w:rPr>
        <w:t>5 categories – Rank 1 (</w:t>
      </w:r>
      <w:r w:rsidR="2F8D58D4" w:rsidRPr="007102CB">
        <w:rPr>
          <w:rFonts w:ascii="Times New Roman" w:hAnsi="Times New Roman" w:cs="Times New Roman"/>
        </w:rPr>
        <w:t>to request technical assistance,</w:t>
      </w:r>
      <w:r w:rsidR="00D61328" w:rsidRPr="007102CB">
        <w:rPr>
          <w:rFonts w:ascii="Times New Roman" w:hAnsi="Times New Roman" w:cs="Times New Roman"/>
        </w:rPr>
        <w:t xml:space="preserve"> </w:t>
      </w:r>
      <w:r w:rsidR="2F8D58D4" w:rsidRPr="007102CB">
        <w:rPr>
          <w:rFonts w:ascii="Times New Roman" w:hAnsi="Times New Roman" w:cs="Times New Roman"/>
        </w:rPr>
        <w:t>or share information</w:t>
      </w:r>
      <w:r w:rsidR="73A1CEA3" w:rsidRPr="007102CB">
        <w:rPr>
          <w:rFonts w:ascii="Times New Roman" w:hAnsi="Times New Roman" w:cs="Times New Roman"/>
        </w:rPr>
        <w:t>;</w:t>
      </w:r>
      <w:r w:rsidR="00597FA8" w:rsidRPr="007102CB">
        <w:rPr>
          <w:rStyle w:val="FootnoteReference"/>
          <w:rFonts w:ascii="Times New Roman" w:hAnsi="Times New Roman" w:cs="Times New Roman"/>
        </w:rPr>
        <w:footnoteReference w:id="81"/>
      </w:r>
      <w:r w:rsidR="73A1CEA3" w:rsidRPr="007102CB">
        <w:rPr>
          <w:rFonts w:ascii="Times New Roman" w:hAnsi="Times New Roman" w:cs="Times New Roman"/>
        </w:rPr>
        <w:t>Rank 2 (</w:t>
      </w:r>
      <w:r w:rsidR="3AE91B9E" w:rsidRPr="007102CB">
        <w:rPr>
          <w:rFonts w:ascii="Times New Roman" w:hAnsi="Times New Roman" w:cs="Times New Roman"/>
        </w:rPr>
        <w:t>Recommendation emphasizing continuity);</w:t>
      </w:r>
      <w:r w:rsidR="008E2541" w:rsidRPr="007102CB">
        <w:rPr>
          <w:rStyle w:val="FootnoteReference"/>
          <w:rFonts w:ascii="Times New Roman" w:hAnsi="Times New Roman" w:cs="Times New Roman"/>
        </w:rPr>
        <w:footnoteReference w:id="82"/>
      </w:r>
      <w:r w:rsidR="3AE91B9E" w:rsidRPr="007102CB">
        <w:rPr>
          <w:rFonts w:ascii="Times New Roman" w:hAnsi="Times New Roman" w:cs="Times New Roman"/>
        </w:rPr>
        <w:t xml:space="preserve"> </w:t>
      </w:r>
      <w:r w:rsidR="2C0916A6" w:rsidRPr="007102CB">
        <w:rPr>
          <w:rFonts w:ascii="Times New Roman" w:hAnsi="Times New Roman" w:cs="Times New Roman"/>
        </w:rPr>
        <w:t>Rank 3 (Recommendation to consider change);</w:t>
      </w:r>
      <w:r w:rsidR="008E2541" w:rsidRPr="007102CB">
        <w:rPr>
          <w:rStyle w:val="FootnoteReference"/>
          <w:rFonts w:ascii="Times New Roman" w:hAnsi="Times New Roman" w:cs="Times New Roman"/>
        </w:rPr>
        <w:footnoteReference w:id="83"/>
      </w:r>
      <w:r w:rsidR="2C0916A6" w:rsidRPr="007102CB">
        <w:rPr>
          <w:rFonts w:ascii="Times New Roman" w:hAnsi="Times New Roman" w:cs="Times New Roman"/>
        </w:rPr>
        <w:t xml:space="preserve"> Rank 4 (</w:t>
      </w:r>
      <w:r w:rsidR="192AD159" w:rsidRPr="007102CB">
        <w:rPr>
          <w:rFonts w:ascii="Times New Roman" w:hAnsi="Times New Roman" w:cs="Times New Roman"/>
        </w:rPr>
        <w:t>Recommendation of action that contains a general element);</w:t>
      </w:r>
      <w:r w:rsidR="00CC47FB" w:rsidRPr="007102CB">
        <w:rPr>
          <w:rStyle w:val="FootnoteReference"/>
          <w:rFonts w:ascii="Times New Roman" w:hAnsi="Times New Roman" w:cs="Times New Roman"/>
        </w:rPr>
        <w:footnoteReference w:id="84"/>
      </w:r>
      <w:r w:rsidR="192AD159" w:rsidRPr="007102CB">
        <w:rPr>
          <w:rFonts w:ascii="Times New Roman" w:hAnsi="Times New Roman" w:cs="Times New Roman"/>
        </w:rPr>
        <w:t xml:space="preserve"> and Rank 5 (Recommendation of specific action)</w:t>
      </w:r>
      <w:r w:rsidR="7E4F13B8" w:rsidRPr="007102CB">
        <w:rPr>
          <w:rFonts w:ascii="Times New Roman" w:hAnsi="Times New Roman" w:cs="Times New Roman"/>
        </w:rPr>
        <w:t>.</w:t>
      </w:r>
      <w:r w:rsidR="008E2541" w:rsidRPr="007102CB">
        <w:rPr>
          <w:rStyle w:val="FootnoteReference"/>
          <w:rFonts w:ascii="Times New Roman" w:hAnsi="Times New Roman" w:cs="Times New Roman"/>
        </w:rPr>
        <w:footnoteReference w:id="85"/>
      </w:r>
      <w:r w:rsidR="7E4F13B8" w:rsidRPr="007102CB">
        <w:rPr>
          <w:rFonts w:ascii="Times New Roman" w:hAnsi="Times New Roman" w:cs="Times New Roman"/>
        </w:rPr>
        <w:t xml:space="preserve"> </w:t>
      </w:r>
      <w:r w:rsidR="7B1576EF" w:rsidRPr="007102CB">
        <w:rPr>
          <w:rFonts w:ascii="Times New Roman" w:hAnsi="Times New Roman" w:cs="Times New Roman"/>
        </w:rPr>
        <w:t xml:space="preserve">Rank 5 category of recommendations </w:t>
      </w:r>
      <w:r w:rsidR="7885F363" w:rsidRPr="007102CB">
        <w:rPr>
          <w:rFonts w:ascii="Times New Roman" w:hAnsi="Times New Roman" w:cs="Times New Roman"/>
        </w:rPr>
        <w:t xml:space="preserve">aligns with </w:t>
      </w:r>
      <w:r w:rsidR="7B1576EF" w:rsidRPr="007102CB">
        <w:rPr>
          <w:rFonts w:ascii="Times New Roman" w:hAnsi="Times New Roman" w:cs="Times New Roman"/>
        </w:rPr>
        <w:t xml:space="preserve">the </w:t>
      </w:r>
      <w:r w:rsidR="19F01BDC" w:rsidRPr="007102CB">
        <w:rPr>
          <w:rFonts w:ascii="Times New Roman" w:hAnsi="Times New Roman" w:cs="Times New Roman"/>
        </w:rPr>
        <w:t>notion of SMART UPR recommendations, introduced by UPR Info,</w:t>
      </w:r>
      <w:r w:rsidR="00541764">
        <w:rPr>
          <w:rStyle w:val="FootnoteReference"/>
          <w:rFonts w:ascii="Times New Roman" w:hAnsi="Times New Roman" w:cs="Times New Roman"/>
        </w:rPr>
        <w:footnoteReference w:id="86"/>
      </w:r>
      <w:r w:rsidR="19F01BDC" w:rsidRPr="007102CB">
        <w:rPr>
          <w:rFonts w:ascii="Times New Roman" w:hAnsi="Times New Roman" w:cs="Times New Roman"/>
        </w:rPr>
        <w:t xml:space="preserve"> used by different UN agencies and also recommended by the OHCHR</w:t>
      </w:r>
      <w:r w:rsidR="007A6257">
        <w:rPr>
          <w:rFonts w:ascii="Times New Roman" w:hAnsi="Times New Roman" w:cs="Times New Roman"/>
        </w:rPr>
        <w:t>.</w:t>
      </w:r>
      <w:r w:rsidR="00733FEE">
        <w:rPr>
          <w:rStyle w:val="FootnoteReference"/>
          <w:rFonts w:ascii="Times New Roman" w:hAnsi="Times New Roman" w:cs="Times New Roman"/>
        </w:rPr>
        <w:footnoteReference w:id="87"/>
      </w:r>
      <w:r w:rsidR="19F01BDC" w:rsidRPr="007102CB">
        <w:rPr>
          <w:rFonts w:ascii="Times New Roman" w:hAnsi="Times New Roman" w:cs="Times New Roman"/>
        </w:rPr>
        <w:t xml:space="preserve"> SMART requires recommendations to be Specific, Measurable, Achievable, Result-Oriented and Time-Bound</w:t>
      </w:r>
      <w:r w:rsidR="007A6257">
        <w:rPr>
          <w:rFonts w:ascii="Times New Roman" w:hAnsi="Times New Roman" w:cs="Times New Roman"/>
        </w:rPr>
        <w:t>.</w:t>
      </w:r>
      <w:r w:rsidR="00C1444F">
        <w:rPr>
          <w:rStyle w:val="FootnoteReference"/>
          <w:rFonts w:ascii="Times New Roman" w:hAnsi="Times New Roman" w:cs="Times New Roman"/>
        </w:rPr>
        <w:footnoteReference w:id="88"/>
      </w:r>
      <w:r w:rsidR="00DE65B5" w:rsidRPr="007102CB">
        <w:rPr>
          <w:rFonts w:ascii="Times New Roman" w:hAnsi="Times New Roman" w:cs="Times New Roman"/>
        </w:rPr>
        <w:t xml:space="preserve"> </w:t>
      </w:r>
      <w:r w:rsidR="56226D8B" w:rsidRPr="007102CB">
        <w:rPr>
          <w:rFonts w:ascii="Times New Roman" w:hAnsi="Times New Roman" w:cs="Times New Roman"/>
        </w:rPr>
        <w:t xml:space="preserve">According to </w:t>
      </w:r>
      <w:proofErr w:type="spellStart"/>
      <w:r w:rsidR="56226D8B" w:rsidRPr="007102CB">
        <w:rPr>
          <w:rFonts w:ascii="Times New Roman" w:hAnsi="Times New Roman" w:cs="Times New Roman"/>
        </w:rPr>
        <w:t>Etone</w:t>
      </w:r>
      <w:proofErr w:type="spellEnd"/>
      <w:r w:rsidR="00451331" w:rsidRPr="007102CB">
        <w:rPr>
          <w:rFonts w:ascii="Times New Roman" w:hAnsi="Times New Roman" w:cs="Times New Roman"/>
        </w:rPr>
        <w:t xml:space="preserve"> </w:t>
      </w:r>
      <w:r w:rsidR="56226D8B" w:rsidRPr="007102CB">
        <w:rPr>
          <w:rFonts w:ascii="Times New Roman" w:hAnsi="Times New Roman" w:cs="Times New Roman"/>
        </w:rPr>
        <w:t xml:space="preserve">the </w:t>
      </w:r>
      <w:r w:rsidR="61BB290E" w:rsidRPr="007102CB">
        <w:rPr>
          <w:rFonts w:ascii="Times New Roman" w:hAnsi="Times New Roman" w:cs="Times New Roman"/>
        </w:rPr>
        <w:t xml:space="preserve">quality </w:t>
      </w:r>
      <w:r w:rsidR="56226D8B" w:rsidRPr="007102CB">
        <w:rPr>
          <w:rFonts w:ascii="Times New Roman" w:hAnsi="Times New Roman" w:cs="Times New Roman"/>
        </w:rPr>
        <w:t>of a UPR recommendation can influence the UPR's capacity to foster significant and quantifiable change.</w:t>
      </w:r>
      <w:r w:rsidR="006E612E">
        <w:rPr>
          <w:rStyle w:val="FootnoteReference"/>
          <w:rFonts w:ascii="Times New Roman" w:hAnsi="Times New Roman" w:cs="Times New Roman"/>
        </w:rPr>
        <w:footnoteReference w:id="89"/>
      </w:r>
      <w:r w:rsidR="00451331" w:rsidRPr="007102CB">
        <w:rPr>
          <w:rFonts w:ascii="Times New Roman" w:hAnsi="Times New Roman" w:cs="Times New Roman"/>
        </w:rPr>
        <w:t xml:space="preserve"> </w:t>
      </w:r>
      <w:r w:rsidR="61BB290E" w:rsidRPr="007102CB">
        <w:rPr>
          <w:rFonts w:ascii="Times New Roman" w:hAnsi="Times New Roman" w:cs="Times New Roman"/>
        </w:rPr>
        <w:t>However</w:t>
      </w:r>
      <w:r w:rsidR="56226D8B" w:rsidRPr="007102CB">
        <w:rPr>
          <w:rFonts w:ascii="Times New Roman" w:hAnsi="Times New Roman" w:cs="Times New Roman"/>
        </w:rPr>
        <w:t>, there is no universally accepted definition of what constitutes a 'high-quality' recommendation, although various definitions employed by scholars and practitioners share certain common characteristics</w:t>
      </w:r>
      <w:r w:rsidR="0CB137D6" w:rsidRPr="007102CB">
        <w:rPr>
          <w:rFonts w:ascii="Times New Roman" w:hAnsi="Times New Roman" w:cs="Times New Roman"/>
        </w:rPr>
        <w:t xml:space="preserve"> </w:t>
      </w:r>
      <w:r w:rsidR="2B5A0CF9" w:rsidRPr="007102CB">
        <w:rPr>
          <w:rFonts w:ascii="Times New Roman" w:hAnsi="Times New Roman" w:cs="Times New Roman"/>
        </w:rPr>
        <w:t>including</w:t>
      </w:r>
      <w:r w:rsidR="0CB137D6" w:rsidRPr="007102CB">
        <w:rPr>
          <w:rFonts w:ascii="Times New Roman" w:hAnsi="Times New Roman" w:cs="Times New Roman"/>
        </w:rPr>
        <w:t xml:space="preserve"> </w:t>
      </w:r>
      <w:r w:rsidR="7C0524E5" w:rsidRPr="007102CB">
        <w:rPr>
          <w:rFonts w:ascii="Times New Roman" w:hAnsi="Times New Roman" w:cs="Times New Roman"/>
        </w:rPr>
        <w:t>specificity</w:t>
      </w:r>
      <w:r w:rsidR="0CB137D6" w:rsidRPr="007102CB">
        <w:rPr>
          <w:rFonts w:ascii="Times New Roman" w:hAnsi="Times New Roman" w:cs="Times New Roman"/>
        </w:rPr>
        <w:t xml:space="preserve"> and </w:t>
      </w:r>
      <w:r w:rsidR="7C0524E5" w:rsidRPr="007102CB">
        <w:rPr>
          <w:rFonts w:ascii="Times New Roman" w:hAnsi="Times New Roman" w:cs="Times New Roman"/>
        </w:rPr>
        <w:t>measurability</w:t>
      </w:r>
      <w:r w:rsidR="0CB137D6" w:rsidRPr="007102CB">
        <w:rPr>
          <w:rFonts w:ascii="Times New Roman" w:hAnsi="Times New Roman" w:cs="Times New Roman"/>
        </w:rPr>
        <w:t xml:space="preserve">. </w:t>
      </w:r>
      <w:r w:rsidR="274997DB" w:rsidRPr="007102CB">
        <w:rPr>
          <w:rFonts w:ascii="Times New Roman" w:hAnsi="Times New Roman" w:cs="Times New Roman"/>
        </w:rPr>
        <w:t>In our analysis in this paper,</w:t>
      </w:r>
      <w:r w:rsidR="3946B16F" w:rsidRPr="007102CB">
        <w:rPr>
          <w:rFonts w:ascii="Times New Roman" w:hAnsi="Times New Roman" w:cs="Times New Roman"/>
        </w:rPr>
        <w:t xml:space="preserve"> </w:t>
      </w:r>
      <w:r w:rsidR="068CB951" w:rsidRPr="007102CB">
        <w:rPr>
          <w:rFonts w:ascii="Times New Roman" w:hAnsi="Times New Roman" w:cs="Times New Roman"/>
        </w:rPr>
        <w:t xml:space="preserve">a good quality recommendation was </w:t>
      </w:r>
      <w:r w:rsidR="6E4580FD" w:rsidRPr="007102CB">
        <w:rPr>
          <w:rFonts w:ascii="Times New Roman" w:hAnsi="Times New Roman" w:cs="Times New Roman"/>
        </w:rPr>
        <w:t>a recommendation that was classified under Rank 5 category</w:t>
      </w:r>
      <w:r w:rsidR="7F24051C" w:rsidRPr="007102CB">
        <w:rPr>
          <w:rFonts w:ascii="Times New Roman" w:hAnsi="Times New Roman" w:cs="Times New Roman"/>
        </w:rPr>
        <w:t xml:space="preserve"> because i</w:t>
      </w:r>
      <w:r w:rsidR="00604410" w:rsidRPr="007102CB">
        <w:rPr>
          <w:rFonts w:ascii="Times New Roman" w:hAnsi="Times New Roman" w:cs="Times New Roman"/>
        </w:rPr>
        <w:t>t</w:t>
      </w:r>
      <w:r w:rsidR="7F24051C" w:rsidRPr="007102CB">
        <w:rPr>
          <w:rFonts w:ascii="Times New Roman" w:hAnsi="Times New Roman" w:cs="Times New Roman"/>
        </w:rPr>
        <w:t xml:space="preserve"> required a specific action on the part of the implementing state. </w:t>
      </w:r>
      <w:r w:rsidR="40D86F84" w:rsidRPr="007102CB">
        <w:rPr>
          <w:rFonts w:ascii="Times New Roman" w:hAnsi="Times New Roman" w:cs="Times New Roman"/>
        </w:rPr>
        <w:t xml:space="preserve">Nevertheless, we recognise that recommendations which require </w:t>
      </w:r>
      <w:r w:rsidR="00225D30" w:rsidRPr="007102CB">
        <w:rPr>
          <w:rFonts w:ascii="Times New Roman" w:hAnsi="Times New Roman" w:cs="Times New Roman"/>
        </w:rPr>
        <w:t xml:space="preserve">general </w:t>
      </w:r>
      <w:r w:rsidR="40D86F84" w:rsidRPr="007102CB">
        <w:rPr>
          <w:rFonts w:ascii="Times New Roman" w:hAnsi="Times New Roman" w:cs="Times New Roman"/>
        </w:rPr>
        <w:t>action (</w:t>
      </w:r>
      <w:r w:rsidR="45D517CB" w:rsidRPr="007102CB">
        <w:rPr>
          <w:rFonts w:ascii="Times New Roman" w:hAnsi="Times New Roman" w:cs="Times New Roman"/>
        </w:rPr>
        <w:t>Rand 4</w:t>
      </w:r>
      <w:r w:rsidR="40D86F84" w:rsidRPr="007102CB">
        <w:rPr>
          <w:rFonts w:ascii="Times New Roman" w:hAnsi="Times New Roman" w:cs="Times New Roman"/>
        </w:rPr>
        <w:t xml:space="preserve">) are not entirely worthless as they have at times translated to specific action at the </w:t>
      </w:r>
      <w:r w:rsidR="4327C530" w:rsidRPr="007102CB">
        <w:rPr>
          <w:rFonts w:ascii="Times New Roman" w:hAnsi="Times New Roman" w:cs="Times New Roman"/>
        </w:rPr>
        <w:t>implementation stage.</w:t>
      </w:r>
      <w:r w:rsidR="00F63281">
        <w:rPr>
          <w:rStyle w:val="FootnoteReference"/>
          <w:rFonts w:ascii="Times New Roman" w:hAnsi="Times New Roman" w:cs="Times New Roman"/>
        </w:rPr>
        <w:footnoteReference w:id="90"/>
      </w:r>
      <w:r w:rsidR="00117F82" w:rsidRPr="007102CB">
        <w:rPr>
          <w:rFonts w:ascii="Times New Roman" w:hAnsi="Times New Roman" w:cs="Times New Roman"/>
        </w:rPr>
        <w:t xml:space="preserve"> </w:t>
      </w:r>
      <w:r w:rsidR="0020486D" w:rsidRPr="007102CB">
        <w:rPr>
          <w:rFonts w:ascii="Times New Roman" w:hAnsi="Times New Roman" w:cs="Times New Roman"/>
        </w:rPr>
        <w:t>Furthermore, a state recommendation may well be specific with the ability to identify the action required to implement and to bring about measurable change on the ground, but if the proposed recommendation or action does not take into account the specific situation and contexts (including legal frameworks) of the country</w:t>
      </w:r>
      <w:r w:rsidR="0083543D" w:rsidRPr="007102CB">
        <w:rPr>
          <w:rFonts w:ascii="Times New Roman" w:hAnsi="Times New Roman" w:cs="Times New Roman"/>
        </w:rPr>
        <w:t xml:space="preserve"> </w:t>
      </w:r>
      <w:r w:rsidR="0020486D" w:rsidRPr="007102CB">
        <w:rPr>
          <w:rFonts w:ascii="Times New Roman" w:hAnsi="Times New Roman" w:cs="Times New Roman"/>
        </w:rPr>
        <w:t xml:space="preserve">concerned, then it becomes questionable how 'useful' or achievable such a recommendation </w:t>
      </w:r>
      <w:r w:rsidR="0083543D" w:rsidRPr="007102CB">
        <w:rPr>
          <w:rFonts w:ascii="Times New Roman" w:hAnsi="Times New Roman" w:cs="Times New Roman"/>
        </w:rPr>
        <w:t>wa</w:t>
      </w:r>
      <w:r w:rsidR="0020486D" w:rsidRPr="007102CB">
        <w:rPr>
          <w:rFonts w:ascii="Times New Roman" w:hAnsi="Times New Roman" w:cs="Times New Roman"/>
        </w:rPr>
        <w:t xml:space="preserve">s. While the specificity of a recommendation is an indication of the quality of that recommendation in identifying the implementation action needed </w:t>
      </w:r>
      <w:r w:rsidR="001B5585" w:rsidRPr="007102CB">
        <w:rPr>
          <w:rFonts w:ascii="Times New Roman" w:hAnsi="Times New Roman" w:cs="Times New Roman"/>
        </w:rPr>
        <w:t>with the possibility to</w:t>
      </w:r>
      <w:r w:rsidR="0020486D" w:rsidRPr="007102CB">
        <w:rPr>
          <w:rFonts w:ascii="Times New Roman" w:hAnsi="Times New Roman" w:cs="Times New Roman"/>
        </w:rPr>
        <w:t xml:space="preserve"> measure implementation, it </w:t>
      </w:r>
      <w:r w:rsidR="0083543D" w:rsidRPr="007102CB">
        <w:rPr>
          <w:rFonts w:ascii="Times New Roman" w:hAnsi="Times New Roman" w:cs="Times New Roman"/>
        </w:rPr>
        <w:t>should</w:t>
      </w:r>
      <w:r w:rsidR="0020486D" w:rsidRPr="007102CB">
        <w:rPr>
          <w:rFonts w:ascii="Times New Roman" w:hAnsi="Times New Roman" w:cs="Times New Roman"/>
        </w:rPr>
        <w:t xml:space="preserve"> not necessarily </w:t>
      </w:r>
      <w:r w:rsidR="0083543D" w:rsidRPr="007102CB">
        <w:rPr>
          <w:rFonts w:ascii="Times New Roman" w:hAnsi="Times New Roman" w:cs="Times New Roman"/>
        </w:rPr>
        <w:t xml:space="preserve">be </w:t>
      </w:r>
      <w:r w:rsidR="0020486D" w:rsidRPr="007102CB">
        <w:rPr>
          <w:rFonts w:ascii="Times New Roman" w:hAnsi="Times New Roman" w:cs="Times New Roman"/>
        </w:rPr>
        <w:t>conclusive in terms of its usefulness, especially where the recommendation does not take into account the domestic context. Our analysis of NGO recommendations in this paper focused on domestic NGO (rather than INGOs) taking into account their greater understanding of the domestic context and their on-the-ground presence.</w:t>
      </w:r>
    </w:p>
    <w:p w14:paraId="1A61D36B" w14:textId="34C615F1" w:rsidR="00F404D0" w:rsidRPr="007102CB" w:rsidRDefault="00107B3D"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lastRenderedPageBreak/>
        <w:t xml:space="preserve">We developed </w:t>
      </w:r>
      <w:r w:rsidR="007133FD" w:rsidRPr="007102CB">
        <w:rPr>
          <w:rFonts w:ascii="Times New Roman" w:hAnsi="Times New Roman" w:cs="Times New Roman"/>
        </w:rPr>
        <w:t xml:space="preserve">several thematic </w:t>
      </w:r>
      <w:r w:rsidR="00D045AC" w:rsidRPr="007102CB">
        <w:rPr>
          <w:rFonts w:ascii="Times New Roman" w:hAnsi="Times New Roman" w:cs="Times New Roman"/>
        </w:rPr>
        <w:t xml:space="preserve">areas in our classification of human rights recommendations based on the frequency in which </w:t>
      </w:r>
      <w:r w:rsidR="00624FD0" w:rsidRPr="007102CB">
        <w:rPr>
          <w:rFonts w:ascii="Times New Roman" w:hAnsi="Times New Roman" w:cs="Times New Roman"/>
        </w:rPr>
        <w:t xml:space="preserve">the recommendations appeared in both state and NGO recommendations for each state across </w:t>
      </w:r>
      <w:r w:rsidR="005D132E" w:rsidRPr="007102CB">
        <w:rPr>
          <w:rFonts w:ascii="Times New Roman" w:hAnsi="Times New Roman" w:cs="Times New Roman"/>
        </w:rPr>
        <w:t xml:space="preserve">the last </w:t>
      </w:r>
      <w:r w:rsidR="00E0133F" w:rsidRPr="007102CB">
        <w:rPr>
          <w:rFonts w:ascii="Times New Roman" w:hAnsi="Times New Roman" w:cs="Times New Roman"/>
        </w:rPr>
        <w:t xml:space="preserve">two and three cycles of the review. </w:t>
      </w:r>
      <w:r w:rsidR="005E6ACA" w:rsidRPr="007102CB">
        <w:rPr>
          <w:rFonts w:ascii="Times New Roman" w:hAnsi="Times New Roman" w:cs="Times New Roman"/>
        </w:rPr>
        <w:t xml:space="preserve">Where </w:t>
      </w:r>
      <w:r w:rsidR="00C04831" w:rsidRPr="007102CB">
        <w:rPr>
          <w:rFonts w:ascii="Times New Roman" w:hAnsi="Times New Roman" w:cs="Times New Roman"/>
        </w:rPr>
        <w:t xml:space="preserve">a </w:t>
      </w:r>
      <w:r w:rsidR="009A6C4A" w:rsidRPr="007102CB">
        <w:rPr>
          <w:rFonts w:ascii="Times New Roman" w:hAnsi="Times New Roman" w:cs="Times New Roman"/>
        </w:rPr>
        <w:t xml:space="preserve">specific </w:t>
      </w:r>
      <w:r w:rsidR="00C04831" w:rsidRPr="007102CB">
        <w:rPr>
          <w:rFonts w:ascii="Times New Roman" w:hAnsi="Times New Roman" w:cs="Times New Roman"/>
        </w:rPr>
        <w:t xml:space="preserve">recommendation addressed </w:t>
      </w:r>
      <w:r w:rsidR="001B045D" w:rsidRPr="007102CB">
        <w:rPr>
          <w:rFonts w:ascii="Times New Roman" w:hAnsi="Times New Roman" w:cs="Times New Roman"/>
        </w:rPr>
        <w:t xml:space="preserve">two or more </w:t>
      </w:r>
      <w:r w:rsidR="009A6C4A" w:rsidRPr="007102CB">
        <w:rPr>
          <w:rFonts w:ascii="Times New Roman" w:hAnsi="Times New Roman" w:cs="Times New Roman"/>
        </w:rPr>
        <w:t xml:space="preserve">human rights issue, it was classified under a broader thematic area. For example, </w:t>
      </w:r>
      <w:r w:rsidR="006D0077" w:rsidRPr="007102CB">
        <w:rPr>
          <w:rFonts w:ascii="Times New Roman" w:hAnsi="Times New Roman" w:cs="Times New Roman"/>
        </w:rPr>
        <w:t>a recommen</w:t>
      </w:r>
      <w:r w:rsidR="009873AC" w:rsidRPr="007102CB">
        <w:rPr>
          <w:rFonts w:ascii="Times New Roman" w:hAnsi="Times New Roman" w:cs="Times New Roman"/>
        </w:rPr>
        <w:t xml:space="preserve">dation for Zambia to </w:t>
      </w:r>
      <w:r w:rsidR="000179AE" w:rsidRPr="007102CB">
        <w:rPr>
          <w:rFonts w:ascii="Times New Roman" w:hAnsi="Times New Roman" w:cs="Times New Roman"/>
        </w:rPr>
        <w:t>‘</w:t>
      </w:r>
      <w:r w:rsidR="00C574B5" w:rsidRPr="007102CB">
        <w:rPr>
          <w:rFonts w:ascii="Times New Roman" w:hAnsi="Times New Roman" w:cs="Times New Roman"/>
        </w:rPr>
        <w:t>[</w:t>
      </w:r>
      <w:r w:rsidR="00D646B8" w:rsidRPr="007102CB">
        <w:rPr>
          <w:rFonts w:ascii="Times New Roman" w:hAnsi="Times New Roman" w:cs="Times New Roman"/>
        </w:rPr>
        <w:t>a</w:t>
      </w:r>
      <w:r w:rsidR="000179AE" w:rsidRPr="007102CB">
        <w:rPr>
          <w:rFonts w:ascii="Times New Roman" w:hAnsi="Times New Roman" w:cs="Times New Roman"/>
        </w:rPr>
        <w:t>]</w:t>
      </w:r>
      <w:proofErr w:type="spellStart"/>
      <w:r w:rsidR="000179AE" w:rsidRPr="007102CB">
        <w:rPr>
          <w:rFonts w:ascii="Times New Roman" w:hAnsi="Times New Roman" w:cs="Times New Roman"/>
        </w:rPr>
        <w:t>dopt</w:t>
      </w:r>
      <w:proofErr w:type="spellEnd"/>
      <w:r w:rsidR="000179AE" w:rsidRPr="007102CB">
        <w:rPr>
          <w:rFonts w:ascii="Times New Roman" w:hAnsi="Times New Roman" w:cs="Times New Roman"/>
        </w:rPr>
        <w:t xml:space="preserve"> pragmatic policies to ensure food availability and safe drinking water for all citizens’ was </w:t>
      </w:r>
      <w:r w:rsidR="00976692" w:rsidRPr="007102CB">
        <w:rPr>
          <w:rFonts w:ascii="Times New Roman" w:hAnsi="Times New Roman" w:cs="Times New Roman"/>
        </w:rPr>
        <w:t xml:space="preserve">coded </w:t>
      </w:r>
      <w:r w:rsidR="008637C5" w:rsidRPr="007102CB">
        <w:rPr>
          <w:rFonts w:ascii="Times New Roman" w:hAnsi="Times New Roman" w:cs="Times New Roman"/>
        </w:rPr>
        <w:t xml:space="preserve">under the theme </w:t>
      </w:r>
      <w:r w:rsidR="0048459F" w:rsidRPr="007102CB">
        <w:rPr>
          <w:rFonts w:ascii="Times New Roman" w:hAnsi="Times New Roman" w:cs="Times New Roman"/>
        </w:rPr>
        <w:t>‘ESC Right</w:t>
      </w:r>
      <w:r w:rsidR="002C1932" w:rsidRPr="007102CB">
        <w:rPr>
          <w:rFonts w:ascii="Times New Roman" w:hAnsi="Times New Roman" w:cs="Times New Roman"/>
        </w:rPr>
        <w:t xml:space="preserve">’ rather than under </w:t>
      </w:r>
      <w:r w:rsidR="00F12677" w:rsidRPr="007102CB">
        <w:rPr>
          <w:rFonts w:ascii="Times New Roman" w:hAnsi="Times New Roman" w:cs="Times New Roman"/>
        </w:rPr>
        <w:t>‘</w:t>
      </w:r>
      <w:r w:rsidR="007609FA" w:rsidRPr="007102CB">
        <w:rPr>
          <w:rFonts w:ascii="Times New Roman" w:hAnsi="Times New Roman" w:cs="Times New Roman"/>
        </w:rPr>
        <w:t xml:space="preserve">Right to Food’ or ‘Right to </w:t>
      </w:r>
      <w:r w:rsidR="002F7F4F" w:rsidRPr="007102CB">
        <w:rPr>
          <w:rFonts w:ascii="Times New Roman" w:hAnsi="Times New Roman" w:cs="Times New Roman"/>
        </w:rPr>
        <w:t xml:space="preserve">Water and sanitation’. </w:t>
      </w:r>
      <w:r w:rsidR="00C01705" w:rsidRPr="007102CB">
        <w:rPr>
          <w:rFonts w:ascii="Times New Roman" w:hAnsi="Times New Roman" w:cs="Times New Roman"/>
        </w:rPr>
        <w:t xml:space="preserve"> We categorized recommendations into various thematic areas and compared the frequency and content of these categories between State and NGO submissions.</w:t>
      </w:r>
      <w:r w:rsidR="00F00380" w:rsidRPr="007102CB">
        <w:rPr>
          <w:rFonts w:ascii="Times New Roman" w:hAnsi="Times New Roman" w:cs="Times New Roman"/>
        </w:rPr>
        <w:t xml:space="preserve"> We also undertook a qualitative analysis of </w:t>
      </w:r>
      <w:r w:rsidR="00D055FE" w:rsidRPr="007102CB">
        <w:rPr>
          <w:rFonts w:ascii="Times New Roman" w:hAnsi="Times New Roman" w:cs="Times New Roman"/>
        </w:rPr>
        <w:t xml:space="preserve">the language of the </w:t>
      </w:r>
      <w:r w:rsidR="00F00380" w:rsidRPr="007102CB">
        <w:rPr>
          <w:rFonts w:ascii="Times New Roman" w:hAnsi="Times New Roman" w:cs="Times New Roman"/>
        </w:rPr>
        <w:t>recommendation</w:t>
      </w:r>
      <w:r w:rsidR="00D055FE" w:rsidRPr="007102CB">
        <w:rPr>
          <w:rFonts w:ascii="Times New Roman" w:hAnsi="Times New Roman" w:cs="Times New Roman"/>
        </w:rPr>
        <w:t>s</w:t>
      </w:r>
      <w:r w:rsidR="00F00380" w:rsidRPr="007102CB">
        <w:rPr>
          <w:rFonts w:ascii="Times New Roman" w:hAnsi="Times New Roman" w:cs="Times New Roman"/>
        </w:rPr>
        <w:t xml:space="preserve"> to identify similarities and differences in </w:t>
      </w:r>
      <w:r w:rsidR="008439C9" w:rsidRPr="007102CB">
        <w:rPr>
          <w:rFonts w:ascii="Times New Roman" w:hAnsi="Times New Roman" w:cs="Times New Roman"/>
        </w:rPr>
        <w:t xml:space="preserve">the quality of recommendations made. </w:t>
      </w:r>
    </w:p>
    <w:p w14:paraId="555AC94D" w14:textId="16E97541" w:rsidR="00B769AB" w:rsidRPr="007102CB" w:rsidRDefault="00A90BAC" w:rsidP="00AA78AE">
      <w:pPr>
        <w:pStyle w:val="Heading3"/>
        <w:numPr>
          <w:ilvl w:val="0"/>
          <w:numId w:val="24"/>
        </w:numPr>
        <w:rPr>
          <w:rFonts w:ascii="Times New Roman" w:hAnsi="Times New Roman" w:cs="Times New Roman"/>
          <w:color w:val="auto"/>
        </w:rPr>
      </w:pPr>
      <w:r w:rsidRPr="007102CB">
        <w:rPr>
          <w:rFonts w:ascii="Times New Roman" w:hAnsi="Times New Roman" w:cs="Times New Roman"/>
          <w:color w:val="auto"/>
        </w:rPr>
        <w:t>Thematic Alignment</w:t>
      </w:r>
      <w:r w:rsidR="00B769AB" w:rsidRPr="007102CB">
        <w:rPr>
          <w:rFonts w:ascii="Times New Roman" w:hAnsi="Times New Roman" w:cs="Times New Roman"/>
          <w:color w:val="auto"/>
        </w:rPr>
        <w:t xml:space="preserve"> of Recommendations</w:t>
      </w:r>
    </w:p>
    <w:p w14:paraId="7943906B" w14:textId="3F6F1DE4" w:rsidR="00FE224E" w:rsidRPr="007102CB" w:rsidRDefault="00034BFE"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In </w:t>
      </w:r>
      <w:r w:rsidR="00483126" w:rsidRPr="007102CB">
        <w:rPr>
          <w:rFonts w:ascii="Times New Roman" w:hAnsi="Times New Roman" w:cs="Times New Roman"/>
        </w:rPr>
        <w:t>relation to Kenya, we examined</w:t>
      </w:r>
      <w:r w:rsidR="006C6459" w:rsidRPr="007102CB">
        <w:rPr>
          <w:rFonts w:ascii="Times New Roman" w:hAnsi="Times New Roman" w:cs="Times New Roman"/>
        </w:rPr>
        <w:t xml:space="preserve"> </w:t>
      </w:r>
      <w:r w:rsidR="00B7433D" w:rsidRPr="007102CB">
        <w:rPr>
          <w:rFonts w:ascii="Times New Roman" w:hAnsi="Times New Roman" w:cs="Times New Roman"/>
        </w:rPr>
        <w:t xml:space="preserve">a total of </w:t>
      </w:r>
      <w:r w:rsidR="006C6459" w:rsidRPr="007102CB">
        <w:rPr>
          <w:rFonts w:ascii="Times New Roman" w:hAnsi="Times New Roman" w:cs="Times New Roman"/>
        </w:rPr>
        <w:t xml:space="preserve">320 (UPR 3) and 234 (UPR 2) </w:t>
      </w:r>
      <w:r w:rsidR="007A7083" w:rsidRPr="007102CB">
        <w:rPr>
          <w:rFonts w:ascii="Times New Roman" w:hAnsi="Times New Roman" w:cs="Times New Roman"/>
        </w:rPr>
        <w:t>recommendations made by states to Kenya a</w:t>
      </w:r>
      <w:r w:rsidR="00BC6733" w:rsidRPr="007102CB">
        <w:rPr>
          <w:rFonts w:ascii="Times New Roman" w:hAnsi="Times New Roman" w:cs="Times New Roman"/>
        </w:rPr>
        <w:t>gainst a total of</w:t>
      </w:r>
      <w:r w:rsidR="007A7083" w:rsidRPr="007102CB">
        <w:rPr>
          <w:rFonts w:ascii="Times New Roman" w:hAnsi="Times New Roman" w:cs="Times New Roman"/>
        </w:rPr>
        <w:t xml:space="preserve"> </w:t>
      </w:r>
      <w:r w:rsidR="008C5076" w:rsidRPr="007102CB">
        <w:rPr>
          <w:rFonts w:ascii="Times New Roman" w:hAnsi="Times New Roman" w:cs="Times New Roman"/>
        </w:rPr>
        <w:t>527 (UPR 3)</w:t>
      </w:r>
      <w:r w:rsidR="00BC6733" w:rsidRPr="007102CB">
        <w:rPr>
          <w:rFonts w:ascii="Times New Roman" w:hAnsi="Times New Roman" w:cs="Times New Roman"/>
        </w:rPr>
        <w:t xml:space="preserve"> and 249 (UPR 2) NGO recommendations made to Kenya. </w:t>
      </w:r>
      <w:r w:rsidR="00D90D78" w:rsidRPr="007102CB">
        <w:rPr>
          <w:rFonts w:ascii="Times New Roman" w:hAnsi="Times New Roman" w:cs="Times New Roman"/>
        </w:rPr>
        <w:t xml:space="preserve">As evident on Table </w:t>
      </w:r>
      <w:r w:rsidR="00EB02E1" w:rsidRPr="007102CB">
        <w:rPr>
          <w:rFonts w:ascii="Times New Roman" w:hAnsi="Times New Roman" w:cs="Times New Roman"/>
        </w:rPr>
        <w:t>1, there</w:t>
      </w:r>
      <w:r w:rsidR="00DF3044" w:rsidRPr="007102CB">
        <w:rPr>
          <w:rFonts w:ascii="Times New Roman" w:hAnsi="Times New Roman" w:cs="Times New Roman"/>
        </w:rPr>
        <w:t xml:space="preserve"> was a significant alignment between thematic issues raised by </w:t>
      </w:r>
      <w:r w:rsidR="00D90D78" w:rsidRPr="007102CB">
        <w:rPr>
          <w:rFonts w:ascii="Times New Roman" w:hAnsi="Times New Roman" w:cs="Times New Roman"/>
        </w:rPr>
        <w:t>states to Kenya and those raised by NGOs</w:t>
      </w:r>
      <w:r w:rsidR="00EB02E1" w:rsidRPr="007102CB">
        <w:rPr>
          <w:rFonts w:ascii="Times New Roman" w:hAnsi="Times New Roman" w:cs="Times New Roman"/>
        </w:rPr>
        <w:t xml:space="preserve">. </w:t>
      </w:r>
      <w:r w:rsidR="00907F09" w:rsidRPr="007102CB">
        <w:rPr>
          <w:rFonts w:ascii="Times New Roman" w:hAnsi="Times New Roman" w:cs="Times New Roman"/>
        </w:rPr>
        <w:t>Out of the 37 thematic issues raised during UPR 3, 32 of these issues were raised by both States and NGOs</w:t>
      </w:r>
      <w:r w:rsidR="00734BB8" w:rsidRPr="007102CB">
        <w:rPr>
          <w:rFonts w:ascii="Times New Roman" w:hAnsi="Times New Roman" w:cs="Times New Roman"/>
        </w:rPr>
        <w:t xml:space="preserve"> in their recommendations. </w:t>
      </w:r>
      <w:r w:rsidR="00DC609C" w:rsidRPr="007102CB">
        <w:rPr>
          <w:rFonts w:ascii="Times New Roman" w:hAnsi="Times New Roman" w:cs="Times New Roman"/>
        </w:rPr>
        <w:t xml:space="preserve">Similarly, during UPR 2 for Kenya, </w:t>
      </w:r>
      <w:r w:rsidR="00F33276" w:rsidRPr="007102CB">
        <w:rPr>
          <w:rFonts w:ascii="Times New Roman" w:hAnsi="Times New Roman" w:cs="Times New Roman"/>
        </w:rPr>
        <w:t>29 of the 35 thematic issues were raised by both states and NGOs in their recommendations to Kenya.</w:t>
      </w:r>
      <w:r w:rsidR="00146473" w:rsidRPr="007102CB">
        <w:rPr>
          <w:rFonts w:ascii="Times New Roman" w:hAnsi="Times New Roman" w:cs="Times New Roman"/>
        </w:rPr>
        <w:t xml:space="preserve"> A few thematic issues were raised by NGOs but not by States including </w:t>
      </w:r>
      <w:r w:rsidR="00662559" w:rsidRPr="007102CB">
        <w:rPr>
          <w:rFonts w:ascii="Times New Roman" w:hAnsi="Times New Roman" w:cs="Times New Roman"/>
        </w:rPr>
        <w:t>on the protection of the family,</w:t>
      </w:r>
      <w:r w:rsidR="00C85790" w:rsidRPr="007102CB">
        <w:rPr>
          <w:rFonts w:ascii="Times New Roman" w:hAnsi="Times New Roman" w:cs="Times New Roman"/>
        </w:rPr>
        <w:t xml:space="preserve"> </w:t>
      </w:r>
      <w:r w:rsidR="00F624C3" w:rsidRPr="007102CB">
        <w:rPr>
          <w:rFonts w:ascii="Times New Roman" w:hAnsi="Times New Roman" w:cs="Times New Roman"/>
        </w:rPr>
        <w:t>sex workers</w:t>
      </w:r>
      <w:r w:rsidR="001D5BDC" w:rsidRPr="007102CB">
        <w:rPr>
          <w:rFonts w:ascii="Times New Roman" w:hAnsi="Times New Roman" w:cs="Times New Roman"/>
        </w:rPr>
        <w:t xml:space="preserve"> (UPR</w:t>
      </w:r>
      <w:r w:rsidR="00C85790" w:rsidRPr="007102CB">
        <w:rPr>
          <w:rFonts w:ascii="Times New Roman" w:hAnsi="Times New Roman" w:cs="Times New Roman"/>
        </w:rPr>
        <w:t xml:space="preserve"> 3), </w:t>
      </w:r>
      <w:r w:rsidR="00BE3A6F" w:rsidRPr="007102CB">
        <w:rPr>
          <w:rFonts w:ascii="Times New Roman" w:hAnsi="Times New Roman" w:cs="Times New Roman"/>
        </w:rPr>
        <w:t xml:space="preserve">access to information, </w:t>
      </w:r>
      <w:r w:rsidR="00AC50BF" w:rsidRPr="007102CB">
        <w:rPr>
          <w:rFonts w:ascii="Times New Roman" w:hAnsi="Times New Roman" w:cs="Times New Roman"/>
        </w:rPr>
        <w:t>right to food, and rights of older people (UPR 2)</w:t>
      </w:r>
      <w:r w:rsidR="006B30B5" w:rsidRPr="007102CB">
        <w:rPr>
          <w:rFonts w:ascii="Times New Roman" w:hAnsi="Times New Roman" w:cs="Times New Roman"/>
        </w:rPr>
        <w:t xml:space="preserve">. States raised additional thematic issues not </w:t>
      </w:r>
      <w:r w:rsidR="001D5BDC" w:rsidRPr="007102CB">
        <w:rPr>
          <w:rFonts w:ascii="Times New Roman" w:hAnsi="Times New Roman" w:cs="Times New Roman"/>
        </w:rPr>
        <w:t>raised by NGOs in the recommendations we examined</w:t>
      </w:r>
      <w:r w:rsidR="00C40C56" w:rsidRPr="007102CB">
        <w:rPr>
          <w:rFonts w:ascii="Times New Roman" w:hAnsi="Times New Roman" w:cs="Times New Roman"/>
        </w:rPr>
        <w:t xml:space="preserve"> including on </w:t>
      </w:r>
      <w:r w:rsidR="001B718D" w:rsidRPr="007102CB">
        <w:rPr>
          <w:rFonts w:ascii="Times New Roman" w:hAnsi="Times New Roman" w:cs="Times New Roman"/>
        </w:rPr>
        <w:t xml:space="preserve">the protection of people with albinism, </w:t>
      </w:r>
      <w:r w:rsidR="009F1C42" w:rsidRPr="007102CB">
        <w:rPr>
          <w:rFonts w:ascii="Times New Roman" w:hAnsi="Times New Roman" w:cs="Times New Roman"/>
        </w:rPr>
        <w:t>freedom of religion and belie</w:t>
      </w:r>
      <w:r w:rsidR="006701E9" w:rsidRPr="007102CB">
        <w:rPr>
          <w:rFonts w:ascii="Times New Roman" w:hAnsi="Times New Roman" w:cs="Times New Roman"/>
        </w:rPr>
        <w:t>f, terrorism</w:t>
      </w:r>
      <w:r w:rsidR="000446C7" w:rsidRPr="007102CB">
        <w:rPr>
          <w:rFonts w:ascii="Times New Roman" w:hAnsi="Times New Roman" w:cs="Times New Roman"/>
        </w:rPr>
        <w:t xml:space="preserve"> (UPR 3), </w:t>
      </w:r>
      <w:r w:rsidR="0099691A" w:rsidRPr="007102CB">
        <w:rPr>
          <w:rFonts w:ascii="Times New Roman" w:hAnsi="Times New Roman" w:cs="Times New Roman"/>
        </w:rPr>
        <w:t xml:space="preserve">death penalty, </w:t>
      </w:r>
      <w:r w:rsidR="00380D78" w:rsidRPr="007102CB">
        <w:rPr>
          <w:rFonts w:ascii="Times New Roman" w:hAnsi="Times New Roman" w:cs="Times New Roman"/>
        </w:rPr>
        <w:t xml:space="preserve">family protection, </w:t>
      </w:r>
      <w:r w:rsidR="00D32AD6" w:rsidRPr="007102CB">
        <w:rPr>
          <w:rFonts w:ascii="Times New Roman" w:hAnsi="Times New Roman" w:cs="Times New Roman"/>
        </w:rPr>
        <w:t xml:space="preserve">terrorism, </w:t>
      </w:r>
      <w:r w:rsidR="00C76D99" w:rsidRPr="007102CB">
        <w:rPr>
          <w:rFonts w:ascii="Times New Roman" w:hAnsi="Times New Roman" w:cs="Times New Roman"/>
        </w:rPr>
        <w:t xml:space="preserve">and </w:t>
      </w:r>
      <w:r w:rsidR="00D32AD6" w:rsidRPr="007102CB">
        <w:rPr>
          <w:rFonts w:ascii="Times New Roman" w:hAnsi="Times New Roman" w:cs="Times New Roman"/>
        </w:rPr>
        <w:t>national human rights institution</w:t>
      </w:r>
      <w:r w:rsidR="00C76D99" w:rsidRPr="007102CB">
        <w:rPr>
          <w:rFonts w:ascii="Times New Roman" w:hAnsi="Times New Roman" w:cs="Times New Roman"/>
        </w:rPr>
        <w:t xml:space="preserve"> (UPR 2)</w:t>
      </w:r>
      <w:r w:rsidR="00E26551" w:rsidRPr="007102CB">
        <w:rPr>
          <w:rFonts w:ascii="Times New Roman" w:hAnsi="Times New Roman" w:cs="Times New Roman"/>
        </w:rPr>
        <w:t xml:space="preserve">. </w:t>
      </w:r>
      <w:r w:rsidR="0074720F" w:rsidRPr="007102CB">
        <w:rPr>
          <w:rFonts w:ascii="Times New Roman" w:hAnsi="Times New Roman" w:cs="Times New Roman"/>
        </w:rPr>
        <w:t>It was observable that some of the</w:t>
      </w:r>
      <w:r w:rsidR="00C06146" w:rsidRPr="007102CB">
        <w:rPr>
          <w:rFonts w:ascii="Times New Roman" w:hAnsi="Times New Roman" w:cs="Times New Roman"/>
        </w:rPr>
        <w:t>se</w:t>
      </w:r>
      <w:r w:rsidR="0074720F" w:rsidRPr="007102CB">
        <w:rPr>
          <w:rFonts w:ascii="Times New Roman" w:hAnsi="Times New Roman" w:cs="Times New Roman"/>
        </w:rPr>
        <w:t xml:space="preserve"> issues </w:t>
      </w:r>
      <w:r w:rsidR="003F0B57" w:rsidRPr="007102CB">
        <w:rPr>
          <w:rFonts w:ascii="Times New Roman" w:hAnsi="Times New Roman" w:cs="Times New Roman"/>
        </w:rPr>
        <w:t>raised by States but not by NGOs in UPR 2 (</w:t>
      </w:r>
      <w:proofErr w:type="spellStart"/>
      <w:r w:rsidR="00B05E37" w:rsidRPr="007102CB">
        <w:rPr>
          <w:rFonts w:ascii="Times New Roman" w:hAnsi="Times New Roman" w:cs="Times New Roman"/>
        </w:rPr>
        <w:t>e.g</w:t>
      </w:r>
      <w:proofErr w:type="spellEnd"/>
      <w:r w:rsidR="00B05E37" w:rsidRPr="007102CB">
        <w:rPr>
          <w:rFonts w:ascii="Times New Roman" w:hAnsi="Times New Roman" w:cs="Times New Roman"/>
        </w:rPr>
        <w:t xml:space="preserve"> </w:t>
      </w:r>
      <w:r w:rsidR="003F0B57" w:rsidRPr="007102CB">
        <w:rPr>
          <w:rFonts w:ascii="Times New Roman" w:hAnsi="Times New Roman" w:cs="Times New Roman"/>
        </w:rPr>
        <w:t xml:space="preserve">death penalty and </w:t>
      </w:r>
      <w:r w:rsidR="00B05E37" w:rsidRPr="007102CB">
        <w:rPr>
          <w:rFonts w:ascii="Times New Roman" w:hAnsi="Times New Roman" w:cs="Times New Roman"/>
        </w:rPr>
        <w:t xml:space="preserve">national human rights institution) were </w:t>
      </w:r>
      <w:r w:rsidR="003F292C" w:rsidRPr="007102CB">
        <w:rPr>
          <w:rFonts w:ascii="Times New Roman" w:hAnsi="Times New Roman" w:cs="Times New Roman"/>
        </w:rPr>
        <w:t xml:space="preserve">subsequently raised by NGOs in UPR 3. </w:t>
      </w:r>
    </w:p>
    <w:p w14:paraId="6EA7D43B" w14:textId="0C4251B2" w:rsidR="00C57B0D" w:rsidRPr="007102CB" w:rsidRDefault="00C57B0D"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Examining the data for Kenya more closely reveals two further patterns</w:t>
      </w:r>
      <w:r w:rsidR="001B60D4" w:rsidRPr="007102CB">
        <w:rPr>
          <w:rFonts w:ascii="Times New Roman" w:hAnsi="Times New Roman" w:cs="Times New Roman"/>
        </w:rPr>
        <w:t xml:space="preserve">. While there is strong alignment across a range of thematic areas, </w:t>
      </w:r>
      <w:r w:rsidR="00AE61E8" w:rsidRPr="007102CB">
        <w:rPr>
          <w:rFonts w:ascii="Times New Roman" w:hAnsi="Times New Roman" w:cs="Times New Roman"/>
        </w:rPr>
        <w:t>there is also:</w:t>
      </w:r>
      <w:r w:rsidRPr="007102CB">
        <w:rPr>
          <w:rFonts w:ascii="Times New Roman" w:hAnsi="Times New Roman" w:cs="Times New Roman"/>
        </w:rPr>
        <w:t xml:space="preserve"> (</w:t>
      </w:r>
      <w:proofErr w:type="spellStart"/>
      <w:r w:rsidRPr="007102CB">
        <w:rPr>
          <w:rFonts w:ascii="Times New Roman" w:hAnsi="Times New Roman" w:cs="Times New Roman"/>
        </w:rPr>
        <w:t>i</w:t>
      </w:r>
      <w:proofErr w:type="spellEnd"/>
      <w:r w:rsidRPr="007102CB">
        <w:rPr>
          <w:rFonts w:ascii="Times New Roman" w:hAnsi="Times New Roman" w:cs="Times New Roman"/>
        </w:rPr>
        <w:t xml:space="preserve">) </w:t>
      </w:r>
      <w:r w:rsidR="00AE61E8" w:rsidRPr="007102CB">
        <w:rPr>
          <w:rFonts w:ascii="Times New Roman" w:hAnsi="Times New Roman" w:cs="Times New Roman"/>
        </w:rPr>
        <w:t>a</w:t>
      </w:r>
      <w:r w:rsidR="00B864DC" w:rsidRPr="007102CB">
        <w:rPr>
          <w:rFonts w:ascii="Times New Roman" w:hAnsi="Times New Roman" w:cs="Times New Roman"/>
        </w:rPr>
        <w:t xml:space="preserve"> disparity in the prioritisation of certain thematic issues</w:t>
      </w:r>
      <w:r w:rsidR="00BA212A" w:rsidRPr="007102CB">
        <w:rPr>
          <w:rFonts w:ascii="Times New Roman" w:hAnsi="Times New Roman" w:cs="Times New Roman"/>
        </w:rPr>
        <w:t xml:space="preserve"> and (ii) shifting prioritisation of issues across review cycles.</w:t>
      </w:r>
      <w:r w:rsidR="00283C7D" w:rsidRPr="007102CB">
        <w:rPr>
          <w:rFonts w:ascii="Times New Roman" w:hAnsi="Times New Roman" w:cs="Times New Roman"/>
        </w:rPr>
        <w:t xml:space="preserve"> On the disparity in issue prioritisation, it was observable</w:t>
      </w:r>
      <w:r w:rsidR="00CB5417" w:rsidRPr="007102CB">
        <w:rPr>
          <w:rFonts w:ascii="Times New Roman" w:hAnsi="Times New Roman" w:cs="Times New Roman"/>
        </w:rPr>
        <w:t xml:space="preserve"> during UPR 3</w:t>
      </w:r>
      <w:r w:rsidR="00283C7D" w:rsidRPr="007102CB">
        <w:rPr>
          <w:rFonts w:ascii="Times New Roman" w:hAnsi="Times New Roman" w:cs="Times New Roman"/>
        </w:rPr>
        <w:t xml:space="preserve"> that </w:t>
      </w:r>
      <w:r w:rsidR="00FB6FE9" w:rsidRPr="007102CB">
        <w:rPr>
          <w:rFonts w:ascii="Times New Roman" w:hAnsi="Times New Roman" w:cs="Times New Roman"/>
        </w:rPr>
        <w:t>states</w:t>
      </w:r>
      <w:r w:rsidR="00CE3F93" w:rsidRPr="007102CB">
        <w:rPr>
          <w:rFonts w:ascii="Times New Roman" w:hAnsi="Times New Roman" w:cs="Times New Roman"/>
        </w:rPr>
        <w:t xml:space="preserve"> prioritised </w:t>
      </w:r>
      <w:r w:rsidR="008560D7" w:rsidRPr="007102CB">
        <w:rPr>
          <w:rFonts w:ascii="Times New Roman" w:hAnsi="Times New Roman" w:cs="Times New Roman"/>
        </w:rPr>
        <w:t>recommendations on the practice of FGM and chi</w:t>
      </w:r>
      <w:r w:rsidR="00B516CF" w:rsidRPr="007102CB">
        <w:rPr>
          <w:rFonts w:ascii="Times New Roman" w:hAnsi="Times New Roman" w:cs="Times New Roman"/>
        </w:rPr>
        <w:t>l</w:t>
      </w:r>
      <w:r w:rsidR="008560D7" w:rsidRPr="007102CB">
        <w:rPr>
          <w:rFonts w:ascii="Times New Roman" w:hAnsi="Times New Roman" w:cs="Times New Roman"/>
        </w:rPr>
        <w:t>d marriage</w:t>
      </w:r>
      <w:r w:rsidR="00B516CF" w:rsidRPr="007102CB">
        <w:rPr>
          <w:rFonts w:ascii="Times New Roman" w:hAnsi="Times New Roman" w:cs="Times New Roman"/>
        </w:rPr>
        <w:t xml:space="preserve"> and on the death penalty (</w:t>
      </w:r>
      <w:r w:rsidR="00CB5417" w:rsidRPr="007102CB">
        <w:rPr>
          <w:rFonts w:ascii="Times New Roman" w:hAnsi="Times New Roman" w:cs="Times New Roman"/>
        </w:rPr>
        <w:t>8.4% and 7.8%</w:t>
      </w:r>
      <w:r w:rsidR="00241E4E" w:rsidRPr="007102CB">
        <w:rPr>
          <w:rFonts w:ascii="Times New Roman" w:hAnsi="Times New Roman" w:cs="Times New Roman"/>
        </w:rPr>
        <w:t xml:space="preserve"> respectively</w:t>
      </w:r>
      <w:r w:rsidR="00CB5417" w:rsidRPr="007102CB">
        <w:rPr>
          <w:rFonts w:ascii="Times New Roman" w:hAnsi="Times New Roman" w:cs="Times New Roman"/>
        </w:rPr>
        <w:t xml:space="preserve">) over </w:t>
      </w:r>
      <w:r w:rsidR="00241E4E" w:rsidRPr="007102CB">
        <w:rPr>
          <w:rFonts w:ascii="Times New Roman" w:hAnsi="Times New Roman" w:cs="Times New Roman"/>
        </w:rPr>
        <w:t xml:space="preserve">the right to health/reproductive rights and </w:t>
      </w:r>
      <w:r w:rsidR="00FE2B40" w:rsidRPr="007102CB">
        <w:rPr>
          <w:rFonts w:ascii="Times New Roman" w:hAnsi="Times New Roman" w:cs="Times New Roman"/>
        </w:rPr>
        <w:t xml:space="preserve">disability rights (9.7% and 8.2% respectively) prioritised by NGOs. </w:t>
      </w:r>
      <w:r w:rsidR="00A173EB" w:rsidRPr="007102CB">
        <w:rPr>
          <w:rFonts w:ascii="Times New Roman" w:hAnsi="Times New Roman" w:cs="Times New Roman"/>
        </w:rPr>
        <w:t xml:space="preserve">This represents a shift on issue prioritisation from UPR </w:t>
      </w:r>
      <w:r w:rsidR="001212D0" w:rsidRPr="007102CB">
        <w:rPr>
          <w:rFonts w:ascii="Times New Roman" w:hAnsi="Times New Roman" w:cs="Times New Roman"/>
        </w:rPr>
        <w:t>2 where recommendations on</w:t>
      </w:r>
      <w:r w:rsidR="00723F20" w:rsidRPr="007102CB">
        <w:rPr>
          <w:rFonts w:ascii="Times New Roman" w:hAnsi="Times New Roman" w:cs="Times New Roman"/>
        </w:rPr>
        <w:t xml:space="preserve"> the theme of</w:t>
      </w:r>
      <w:r w:rsidR="001212D0" w:rsidRPr="007102CB">
        <w:rPr>
          <w:rFonts w:ascii="Times New Roman" w:hAnsi="Times New Roman" w:cs="Times New Roman"/>
        </w:rPr>
        <w:t xml:space="preserve"> </w:t>
      </w:r>
      <w:r w:rsidR="00723F20" w:rsidRPr="007102CB">
        <w:rPr>
          <w:rFonts w:ascii="Times New Roman" w:hAnsi="Times New Roman" w:cs="Times New Roman"/>
        </w:rPr>
        <w:t>‘</w:t>
      </w:r>
      <w:r w:rsidR="001B496B" w:rsidRPr="007102CB">
        <w:rPr>
          <w:rFonts w:ascii="Times New Roman" w:hAnsi="Times New Roman" w:cs="Times New Roman"/>
        </w:rPr>
        <w:t>T</w:t>
      </w:r>
      <w:r w:rsidR="001212D0" w:rsidRPr="007102CB">
        <w:rPr>
          <w:rFonts w:ascii="Times New Roman" w:hAnsi="Times New Roman" w:cs="Times New Roman"/>
        </w:rPr>
        <w:t xml:space="preserve">ransitional </w:t>
      </w:r>
      <w:r w:rsidR="001B496B" w:rsidRPr="007102CB">
        <w:rPr>
          <w:rFonts w:ascii="Times New Roman" w:hAnsi="Times New Roman" w:cs="Times New Roman"/>
        </w:rPr>
        <w:t>J</w:t>
      </w:r>
      <w:r w:rsidR="001212D0" w:rsidRPr="007102CB">
        <w:rPr>
          <w:rFonts w:ascii="Times New Roman" w:hAnsi="Times New Roman" w:cs="Times New Roman"/>
        </w:rPr>
        <w:t>ustice</w:t>
      </w:r>
      <w:r w:rsidR="00723F20" w:rsidRPr="007102CB">
        <w:rPr>
          <w:rFonts w:ascii="Times New Roman" w:hAnsi="Times New Roman" w:cs="Times New Roman"/>
        </w:rPr>
        <w:t>’</w:t>
      </w:r>
      <w:r w:rsidR="001212D0" w:rsidRPr="007102CB">
        <w:rPr>
          <w:rFonts w:ascii="Times New Roman" w:hAnsi="Times New Roman" w:cs="Times New Roman"/>
        </w:rPr>
        <w:t xml:space="preserve"> was </w:t>
      </w:r>
      <w:r w:rsidR="008A62BD" w:rsidRPr="007102CB">
        <w:rPr>
          <w:rFonts w:ascii="Times New Roman" w:hAnsi="Times New Roman" w:cs="Times New Roman"/>
        </w:rPr>
        <w:t>the most prominent issue for States (</w:t>
      </w:r>
      <w:r w:rsidR="00E96C2D" w:rsidRPr="007102CB">
        <w:rPr>
          <w:rFonts w:ascii="Times New Roman" w:hAnsi="Times New Roman" w:cs="Times New Roman"/>
        </w:rPr>
        <w:t xml:space="preserve">9%) and recommendations on </w:t>
      </w:r>
      <w:r w:rsidR="00723F20" w:rsidRPr="007102CB">
        <w:rPr>
          <w:rFonts w:ascii="Times New Roman" w:hAnsi="Times New Roman" w:cs="Times New Roman"/>
        </w:rPr>
        <w:t>the theme ‘</w:t>
      </w:r>
      <w:r w:rsidR="001B496B" w:rsidRPr="007102CB">
        <w:rPr>
          <w:rFonts w:ascii="Times New Roman" w:hAnsi="Times New Roman" w:cs="Times New Roman"/>
        </w:rPr>
        <w:t xml:space="preserve">Police, Security Force and Judiciary’ was prioritised by NGOs. </w:t>
      </w:r>
    </w:p>
    <w:p w14:paraId="1C1C1486" w14:textId="4F68B0F2" w:rsidR="00034BFE" w:rsidRPr="007102CB" w:rsidRDefault="005E70DB"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In the case of </w:t>
      </w:r>
      <w:r w:rsidR="00783B1F" w:rsidRPr="007102CB">
        <w:rPr>
          <w:rFonts w:ascii="Times New Roman" w:hAnsi="Times New Roman" w:cs="Times New Roman"/>
        </w:rPr>
        <w:t xml:space="preserve">Zambia, </w:t>
      </w:r>
      <w:r w:rsidR="00921A9F" w:rsidRPr="007102CB">
        <w:rPr>
          <w:rFonts w:ascii="Times New Roman" w:hAnsi="Times New Roman" w:cs="Times New Roman"/>
        </w:rPr>
        <w:t xml:space="preserve">we </w:t>
      </w:r>
      <w:r w:rsidR="002E5535" w:rsidRPr="007102CB">
        <w:rPr>
          <w:rFonts w:ascii="Times New Roman" w:hAnsi="Times New Roman" w:cs="Times New Roman"/>
        </w:rPr>
        <w:t>analysed a total of</w:t>
      </w:r>
      <w:r w:rsidR="001F548D" w:rsidRPr="007102CB">
        <w:rPr>
          <w:rFonts w:ascii="Times New Roman" w:hAnsi="Times New Roman" w:cs="Times New Roman"/>
        </w:rPr>
        <w:t xml:space="preserve"> </w:t>
      </w:r>
      <w:r w:rsidR="00E41BEE" w:rsidRPr="007102CB">
        <w:rPr>
          <w:rFonts w:ascii="Times New Roman" w:hAnsi="Times New Roman" w:cs="Times New Roman"/>
        </w:rPr>
        <w:t>2</w:t>
      </w:r>
      <w:r w:rsidR="00070E49" w:rsidRPr="007102CB">
        <w:rPr>
          <w:rFonts w:ascii="Times New Roman" w:hAnsi="Times New Roman" w:cs="Times New Roman"/>
        </w:rPr>
        <w:t>50</w:t>
      </w:r>
      <w:r w:rsidR="001F548D" w:rsidRPr="007102CB">
        <w:rPr>
          <w:rFonts w:ascii="Times New Roman" w:hAnsi="Times New Roman" w:cs="Times New Roman"/>
        </w:rPr>
        <w:t xml:space="preserve"> (UPR </w:t>
      </w:r>
      <w:r w:rsidR="00E41BEE" w:rsidRPr="007102CB">
        <w:rPr>
          <w:rFonts w:ascii="Times New Roman" w:hAnsi="Times New Roman" w:cs="Times New Roman"/>
        </w:rPr>
        <w:t>4</w:t>
      </w:r>
      <w:r w:rsidR="001F548D" w:rsidRPr="007102CB">
        <w:rPr>
          <w:rFonts w:ascii="Times New Roman" w:hAnsi="Times New Roman" w:cs="Times New Roman"/>
        </w:rPr>
        <w:t>)</w:t>
      </w:r>
      <w:r w:rsidR="00070E49" w:rsidRPr="007102CB">
        <w:rPr>
          <w:rFonts w:ascii="Times New Roman" w:hAnsi="Times New Roman" w:cs="Times New Roman"/>
        </w:rPr>
        <w:t>, 212 (UPR 3)</w:t>
      </w:r>
      <w:r w:rsidR="001F548D" w:rsidRPr="007102CB">
        <w:rPr>
          <w:rFonts w:ascii="Times New Roman" w:hAnsi="Times New Roman" w:cs="Times New Roman"/>
        </w:rPr>
        <w:t xml:space="preserve"> and </w:t>
      </w:r>
      <w:r w:rsidR="00390234" w:rsidRPr="007102CB">
        <w:rPr>
          <w:rFonts w:ascii="Times New Roman" w:hAnsi="Times New Roman" w:cs="Times New Roman"/>
        </w:rPr>
        <w:t>1</w:t>
      </w:r>
      <w:r w:rsidR="001F548D" w:rsidRPr="007102CB">
        <w:rPr>
          <w:rFonts w:ascii="Times New Roman" w:hAnsi="Times New Roman" w:cs="Times New Roman"/>
        </w:rPr>
        <w:t>3</w:t>
      </w:r>
      <w:r w:rsidR="00390234" w:rsidRPr="007102CB">
        <w:rPr>
          <w:rFonts w:ascii="Times New Roman" w:hAnsi="Times New Roman" w:cs="Times New Roman"/>
        </w:rPr>
        <w:t>5</w:t>
      </w:r>
      <w:r w:rsidR="001F548D" w:rsidRPr="007102CB">
        <w:rPr>
          <w:rFonts w:ascii="Times New Roman" w:hAnsi="Times New Roman" w:cs="Times New Roman"/>
        </w:rPr>
        <w:t xml:space="preserve"> (UPR 2) recommendations made by states to </w:t>
      </w:r>
      <w:r w:rsidR="001362F5" w:rsidRPr="007102CB">
        <w:rPr>
          <w:rFonts w:ascii="Times New Roman" w:hAnsi="Times New Roman" w:cs="Times New Roman"/>
        </w:rPr>
        <w:t>Zambia</w:t>
      </w:r>
      <w:r w:rsidR="001F548D" w:rsidRPr="007102CB">
        <w:rPr>
          <w:rFonts w:ascii="Times New Roman" w:hAnsi="Times New Roman" w:cs="Times New Roman"/>
        </w:rPr>
        <w:t xml:space="preserve"> against a total of </w:t>
      </w:r>
      <w:r w:rsidR="008C7268" w:rsidRPr="007102CB">
        <w:rPr>
          <w:rFonts w:ascii="Times New Roman" w:hAnsi="Times New Roman" w:cs="Times New Roman"/>
        </w:rPr>
        <w:t>36</w:t>
      </w:r>
      <w:r w:rsidR="001F548D" w:rsidRPr="007102CB">
        <w:rPr>
          <w:rFonts w:ascii="Times New Roman" w:hAnsi="Times New Roman" w:cs="Times New Roman"/>
        </w:rPr>
        <w:t xml:space="preserve">7 (UPR </w:t>
      </w:r>
      <w:r w:rsidR="008C7268" w:rsidRPr="007102CB">
        <w:rPr>
          <w:rFonts w:ascii="Times New Roman" w:hAnsi="Times New Roman" w:cs="Times New Roman"/>
        </w:rPr>
        <w:t>4</w:t>
      </w:r>
      <w:r w:rsidR="001F548D" w:rsidRPr="007102CB">
        <w:rPr>
          <w:rFonts w:ascii="Times New Roman" w:hAnsi="Times New Roman" w:cs="Times New Roman"/>
        </w:rPr>
        <w:t>)</w:t>
      </w:r>
      <w:r w:rsidR="008C7268" w:rsidRPr="007102CB">
        <w:rPr>
          <w:rFonts w:ascii="Times New Roman" w:hAnsi="Times New Roman" w:cs="Times New Roman"/>
        </w:rPr>
        <w:t>, 1</w:t>
      </w:r>
      <w:r w:rsidR="001362F5" w:rsidRPr="007102CB">
        <w:rPr>
          <w:rFonts w:ascii="Times New Roman" w:hAnsi="Times New Roman" w:cs="Times New Roman"/>
        </w:rPr>
        <w:t>57</w:t>
      </w:r>
      <w:r w:rsidR="008C7268" w:rsidRPr="007102CB">
        <w:rPr>
          <w:rFonts w:ascii="Times New Roman" w:hAnsi="Times New Roman" w:cs="Times New Roman"/>
        </w:rPr>
        <w:t xml:space="preserve"> (UPR 2)</w:t>
      </w:r>
      <w:r w:rsidR="001F548D" w:rsidRPr="007102CB">
        <w:rPr>
          <w:rFonts w:ascii="Times New Roman" w:hAnsi="Times New Roman" w:cs="Times New Roman"/>
        </w:rPr>
        <w:t xml:space="preserve"> and </w:t>
      </w:r>
      <w:r w:rsidR="001362F5" w:rsidRPr="007102CB">
        <w:rPr>
          <w:rFonts w:ascii="Times New Roman" w:hAnsi="Times New Roman" w:cs="Times New Roman"/>
        </w:rPr>
        <w:t>125</w:t>
      </w:r>
      <w:r w:rsidR="001F548D" w:rsidRPr="007102CB">
        <w:rPr>
          <w:rFonts w:ascii="Times New Roman" w:hAnsi="Times New Roman" w:cs="Times New Roman"/>
        </w:rPr>
        <w:t xml:space="preserve"> (UPR 2) NGO recommendations made to </w:t>
      </w:r>
      <w:r w:rsidR="001362F5" w:rsidRPr="007102CB">
        <w:rPr>
          <w:rFonts w:ascii="Times New Roman" w:hAnsi="Times New Roman" w:cs="Times New Roman"/>
        </w:rPr>
        <w:t>Zambia</w:t>
      </w:r>
      <w:r w:rsidR="001F548D" w:rsidRPr="007102CB">
        <w:rPr>
          <w:rFonts w:ascii="Times New Roman" w:hAnsi="Times New Roman" w:cs="Times New Roman"/>
        </w:rPr>
        <w:t xml:space="preserve">. </w:t>
      </w:r>
      <w:r w:rsidR="000B1524" w:rsidRPr="007102CB">
        <w:rPr>
          <w:rFonts w:ascii="Times New Roman" w:hAnsi="Times New Roman" w:cs="Times New Roman"/>
        </w:rPr>
        <w:t xml:space="preserve">Our findings represented in Table 2 </w:t>
      </w:r>
      <w:r w:rsidR="000473B0" w:rsidRPr="007102CB">
        <w:rPr>
          <w:rFonts w:ascii="Times New Roman" w:hAnsi="Times New Roman" w:cs="Times New Roman"/>
        </w:rPr>
        <w:t xml:space="preserve">show </w:t>
      </w:r>
      <w:r w:rsidR="00CD4C14" w:rsidRPr="007102CB">
        <w:rPr>
          <w:rFonts w:ascii="Times New Roman" w:hAnsi="Times New Roman" w:cs="Times New Roman"/>
        </w:rPr>
        <w:t>there</w:t>
      </w:r>
      <w:r w:rsidR="00622C60" w:rsidRPr="007102CB">
        <w:rPr>
          <w:rFonts w:ascii="Times New Roman" w:hAnsi="Times New Roman" w:cs="Times New Roman"/>
        </w:rPr>
        <w:t xml:space="preserve"> is</w:t>
      </w:r>
      <w:r w:rsidR="00CD4C14" w:rsidRPr="007102CB">
        <w:rPr>
          <w:rFonts w:ascii="Times New Roman" w:hAnsi="Times New Roman" w:cs="Times New Roman"/>
        </w:rPr>
        <w:t xml:space="preserve"> a trend towards a stronger alignment of recommendations </w:t>
      </w:r>
      <w:r w:rsidR="00622C60" w:rsidRPr="007102CB">
        <w:rPr>
          <w:rFonts w:ascii="Times New Roman" w:hAnsi="Times New Roman" w:cs="Times New Roman"/>
        </w:rPr>
        <w:t xml:space="preserve">in thematic areas </w:t>
      </w:r>
      <w:r w:rsidR="00CD4C14" w:rsidRPr="007102CB">
        <w:rPr>
          <w:rFonts w:ascii="Times New Roman" w:hAnsi="Times New Roman" w:cs="Times New Roman"/>
        </w:rPr>
        <w:t xml:space="preserve">across UPR cycles. </w:t>
      </w:r>
      <w:r w:rsidR="0097049D" w:rsidRPr="007102CB">
        <w:rPr>
          <w:rFonts w:ascii="Times New Roman" w:hAnsi="Times New Roman" w:cs="Times New Roman"/>
        </w:rPr>
        <w:t xml:space="preserve">During UPR 2, </w:t>
      </w:r>
      <w:r w:rsidR="00A9528E" w:rsidRPr="007102CB">
        <w:rPr>
          <w:rFonts w:ascii="Times New Roman" w:hAnsi="Times New Roman" w:cs="Times New Roman"/>
        </w:rPr>
        <w:t xml:space="preserve">there were up to 12 misaligned thematic areas in our </w:t>
      </w:r>
      <w:r w:rsidR="009278C3" w:rsidRPr="007102CB">
        <w:rPr>
          <w:rFonts w:ascii="Times New Roman" w:hAnsi="Times New Roman" w:cs="Times New Roman"/>
        </w:rPr>
        <w:t xml:space="preserve">thematic </w:t>
      </w:r>
      <w:r w:rsidR="00A9528E" w:rsidRPr="007102CB">
        <w:rPr>
          <w:rFonts w:ascii="Times New Roman" w:hAnsi="Times New Roman" w:cs="Times New Roman"/>
        </w:rPr>
        <w:t xml:space="preserve">categorisation. </w:t>
      </w:r>
      <w:r w:rsidR="008111F2" w:rsidRPr="007102CB">
        <w:rPr>
          <w:rFonts w:ascii="Times New Roman" w:hAnsi="Times New Roman" w:cs="Times New Roman"/>
        </w:rPr>
        <w:t>Some o</w:t>
      </w:r>
      <w:r w:rsidR="009278C3" w:rsidRPr="007102CB">
        <w:rPr>
          <w:rFonts w:ascii="Times New Roman" w:hAnsi="Times New Roman" w:cs="Times New Roman"/>
        </w:rPr>
        <w:t>f</w:t>
      </w:r>
      <w:r w:rsidR="008111F2" w:rsidRPr="007102CB">
        <w:rPr>
          <w:rFonts w:ascii="Times New Roman" w:hAnsi="Times New Roman" w:cs="Times New Roman"/>
        </w:rPr>
        <w:t xml:space="preserve"> t</w:t>
      </w:r>
      <w:r w:rsidR="00980F6E" w:rsidRPr="007102CB">
        <w:rPr>
          <w:rFonts w:ascii="Times New Roman" w:hAnsi="Times New Roman" w:cs="Times New Roman"/>
        </w:rPr>
        <w:t>he</w:t>
      </w:r>
      <w:r w:rsidR="009278C3" w:rsidRPr="007102CB">
        <w:rPr>
          <w:rFonts w:ascii="Times New Roman" w:hAnsi="Times New Roman" w:cs="Times New Roman"/>
        </w:rPr>
        <w:t xml:space="preserve"> misaligned</w:t>
      </w:r>
      <w:r w:rsidR="00980F6E" w:rsidRPr="007102CB">
        <w:rPr>
          <w:rFonts w:ascii="Times New Roman" w:hAnsi="Times New Roman" w:cs="Times New Roman"/>
        </w:rPr>
        <w:t xml:space="preserve"> thematic areas included </w:t>
      </w:r>
      <w:r w:rsidR="00E561B5" w:rsidRPr="007102CB">
        <w:rPr>
          <w:rFonts w:ascii="Times New Roman" w:hAnsi="Times New Roman" w:cs="Times New Roman"/>
        </w:rPr>
        <w:t>access to justice (raised by NGOs</w:t>
      </w:r>
      <w:r w:rsidR="003A1FD8" w:rsidRPr="007102CB">
        <w:rPr>
          <w:rFonts w:ascii="Times New Roman" w:hAnsi="Times New Roman" w:cs="Times New Roman"/>
        </w:rPr>
        <w:t xml:space="preserve"> but not states)</w:t>
      </w:r>
      <w:r w:rsidR="000139C0" w:rsidRPr="007102CB">
        <w:rPr>
          <w:rFonts w:ascii="Times New Roman" w:hAnsi="Times New Roman" w:cs="Times New Roman"/>
        </w:rPr>
        <w:t>;</w:t>
      </w:r>
      <w:r w:rsidR="003A1FD8" w:rsidRPr="007102CB">
        <w:rPr>
          <w:rFonts w:ascii="Times New Roman" w:hAnsi="Times New Roman" w:cs="Times New Roman"/>
        </w:rPr>
        <w:t xml:space="preserve"> </w:t>
      </w:r>
      <w:r w:rsidR="000139C0" w:rsidRPr="007102CB">
        <w:rPr>
          <w:rFonts w:ascii="Times New Roman" w:hAnsi="Times New Roman" w:cs="Times New Roman"/>
        </w:rPr>
        <w:t xml:space="preserve">freedom of press, opinion and expression (raised by NGOs but not states); </w:t>
      </w:r>
      <w:r w:rsidR="00670F24" w:rsidRPr="007102CB">
        <w:rPr>
          <w:rFonts w:ascii="Times New Roman" w:hAnsi="Times New Roman" w:cs="Times New Roman"/>
        </w:rPr>
        <w:t>r</w:t>
      </w:r>
      <w:r w:rsidR="007A05D9" w:rsidRPr="007102CB">
        <w:rPr>
          <w:rFonts w:ascii="Times New Roman" w:hAnsi="Times New Roman" w:cs="Times New Roman"/>
        </w:rPr>
        <w:t xml:space="preserve">ight to water and </w:t>
      </w:r>
      <w:r w:rsidR="00670F24" w:rsidRPr="007102CB">
        <w:rPr>
          <w:rFonts w:ascii="Times New Roman" w:hAnsi="Times New Roman" w:cs="Times New Roman"/>
        </w:rPr>
        <w:t>s</w:t>
      </w:r>
      <w:r w:rsidR="007A05D9" w:rsidRPr="007102CB">
        <w:rPr>
          <w:rFonts w:ascii="Times New Roman" w:hAnsi="Times New Roman" w:cs="Times New Roman"/>
        </w:rPr>
        <w:t xml:space="preserve">anitation(raised by NGOs but not states); </w:t>
      </w:r>
      <w:r w:rsidR="00670F24" w:rsidRPr="007102CB">
        <w:rPr>
          <w:rFonts w:ascii="Times New Roman" w:hAnsi="Times New Roman" w:cs="Times New Roman"/>
        </w:rPr>
        <w:t>m</w:t>
      </w:r>
      <w:r w:rsidR="00425762" w:rsidRPr="007102CB">
        <w:rPr>
          <w:rFonts w:ascii="Times New Roman" w:hAnsi="Times New Roman" w:cs="Times New Roman"/>
        </w:rPr>
        <w:t xml:space="preserve">inority and </w:t>
      </w:r>
      <w:r w:rsidR="00670F24" w:rsidRPr="007102CB">
        <w:rPr>
          <w:rFonts w:ascii="Times New Roman" w:hAnsi="Times New Roman" w:cs="Times New Roman"/>
        </w:rPr>
        <w:t>i</w:t>
      </w:r>
      <w:r w:rsidR="00425762" w:rsidRPr="007102CB">
        <w:rPr>
          <w:rFonts w:ascii="Times New Roman" w:hAnsi="Times New Roman" w:cs="Times New Roman"/>
        </w:rPr>
        <w:t xml:space="preserve">ndigenous Rights (raised by states but not NGOs); </w:t>
      </w:r>
      <w:r w:rsidR="004763E9" w:rsidRPr="007102CB">
        <w:rPr>
          <w:rFonts w:ascii="Times New Roman" w:hAnsi="Times New Roman" w:cs="Times New Roman"/>
        </w:rPr>
        <w:t>sexual orientation and gender identity (raised by states but not NGOs)</w:t>
      </w:r>
      <w:r w:rsidR="00FC54E7" w:rsidRPr="007102CB">
        <w:rPr>
          <w:rFonts w:ascii="Times New Roman" w:hAnsi="Times New Roman" w:cs="Times New Roman"/>
        </w:rPr>
        <w:t xml:space="preserve">; national human rights commission (raised by states but not NGOs); and </w:t>
      </w:r>
      <w:r w:rsidR="00EF438D" w:rsidRPr="007102CB">
        <w:rPr>
          <w:rFonts w:ascii="Times New Roman" w:hAnsi="Times New Roman" w:cs="Times New Roman"/>
        </w:rPr>
        <w:t>human trafficking (raised by states but not NGOs).</w:t>
      </w:r>
      <w:r w:rsidR="004C4D5E" w:rsidRPr="007102CB">
        <w:rPr>
          <w:rFonts w:ascii="Times New Roman" w:hAnsi="Times New Roman" w:cs="Times New Roman"/>
        </w:rPr>
        <w:t xml:space="preserve"> </w:t>
      </w:r>
      <w:r w:rsidR="006A5AA3" w:rsidRPr="007102CB">
        <w:rPr>
          <w:rFonts w:ascii="Times New Roman" w:hAnsi="Times New Roman" w:cs="Times New Roman"/>
        </w:rPr>
        <w:t xml:space="preserve">Our of the 28 thematic categories for this cycle </w:t>
      </w:r>
      <w:r w:rsidR="00330B71" w:rsidRPr="007102CB">
        <w:rPr>
          <w:rFonts w:ascii="Times New Roman" w:hAnsi="Times New Roman" w:cs="Times New Roman"/>
        </w:rPr>
        <w:t xml:space="preserve">12 (about 43%) were misaligned. </w:t>
      </w:r>
      <w:r w:rsidR="00BC5253" w:rsidRPr="007102CB">
        <w:rPr>
          <w:rFonts w:ascii="Times New Roman" w:hAnsi="Times New Roman" w:cs="Times New Roman"/>
        </w:rPr>
        <w:t xml:space="preserve">This is a significant disparity between issues raised by states compared </w:t>
      </w:r>
      <w:r w:rsidR="00BC5253" w:rsidRPr="007102CB">
        <w:rPr>
          <w:rFonts w:ascii="Times New Roman" w:hAnsi="Times New Roman" w:cs="Times New Roman"/>
        </w:rPr>
        <w:lastRenderedPageBreak/>
        <w:t xml:space="preserve">to NGOs. </w:t>
      </w:r>
      <w:r w:rsidR="00F23380" w:rsidRPr="007102CB">
        <w:rPr>
          <w:rFonts w:ascii="Times New Roman" w:hAnsi="Times New Roman" w:cs="Times New Roman"/>
        </w:rPr>
        <w:t xml:space="preserve">This disparity </w:t>
      </w:r>
      <w:r w:rsidR="0010594C" w:rsidRPr="007102CB">
        <w:rPr>
          <w:rFonts w:ascii="Times New Roman" w:hAnsi="Times New Roman" w:cs="Times New Roman"/>
        </w:rPr>
        <w:t>is also evident with the issues priori</w:t>
      </w:r>
      <w:r w:rsidR="007819E7" w:rsidRPr="007102CB">
        <w:rPr>
          <w:rFonts w:ascii="Times New Roman" w:hAnsi="Times New Roman" w:cs="Times New Roman"/>
        </w:rPr>
        <w:t xml:space="preserve">tised. Whereas </w:t>
      </w:r>
      <w:r w:rsidR="002C16F4" w:rsidRPr="007102CB">
        <w:rPr>
          <w:rFonts w:ascii="Times New Roman" w:hAnsi="Times New Roman" w:cs="Times New Roman"/>
        </w:rPr>
        <w:t xml:space="preserve">the top three thematic issues for NGOs were </w:t>
      </w:r>
      <w:r w:rsidR="0079426E" w:rsidRPr="007102CB">
        <w:rPr>
          <w:rFonts w:ascii="Times New Roman" w:hAnsi="Times New Roman" w:cs="Times New Roman"/>
        </w:rPr>
        <w:t>r</w:t>
      </w:r>
      <w:r w:rsidR="00990DC8" w:rsidRPr="007102CB">
        <w:rPr>
          <w:rFonts w:ascii="Times New Roman" w:hAnsi="Times New Roman" w:cs="Times New Roman"/>
        </w:rPr>
        <w:t xml:space="preserve">ights to </w:t>
      </w:r>
      <w:r w:rsidR="0079426E" w:rsidRPr="007102CB">
        <w:rPr>
          <w:rFonts w:ascii="Times New Roman" w:hAnsi="Times New Roman" w:cs="Times New Roman"/>
        </w:rPr>
        <w:t>e</w:t>
      </w:r>
      <w:r w:rsidR="00990DC8" w:rsidRPr="007102CB">
        <w:rPr>
          <w:rFonts w:ascii="Times New Roman" w:hAnsi="Times New Roman" w:cs="Times New Roman"/>
        </w:rPr>
        <w:t>ducation (1</w:t>
      </w:r>
      <w:r w:rsidR="00D22050" w:rsidRPr="007102CB">
        <w:rPr>
          <w:rFonts w:ascii="Times New Roman" w:hAnsi="Times New Roman" w:cs="Times New Roman"/>
        </w:rPr>
        <w:t>4</w:t>
      </w:r>
      <w:r w:rsidR="00990DC8" w:rsidRPr="007102CB">
        <w:rPr>
          <w:rFonts w:ascii="Times New Roman" w:hAnsi="Times New Roman" w:cs="Times New Roman"/>
        </w:rPr>
        <w:t>%)</w:t>
      </w:r>
      <w:r w:rsidR="00267D9A" w:rsidRPr="007102CB">
        <w:rPr>
          <w:rFonts w:ascii="Times New Roman" w:hAnsi="Times New Roman" w:cs="Times New Roman"/>
        </w:rPr>
        <w:t>;</w:t>
      </w:r>
      <w:r w:rsidR="00990DC8" w:rsidRPr="007102CB">
        <w:rPr>
          <w:rFonts w:ascii="Times New Roman" w:hAnsi="Times New Roman" w:cs="Times New Roman"/>
        </w:rPr>
        <w:t xml:space="preserve"> </w:t>
      </w:r>
      <w:r w:rsidR="0079426E" w:rsidRPr="007102CB">
        <w:rPr>
          <w:rFonts w:ascii="Times New Roman" w:hAnsi="Times New Roman" w:cs="Times New Roman"/>
        </w:rPr>
        <w:t>b</w:t>
      </w:r>
      <w:r w:rsidR="00990DC8" w:rsidRPr="007102CB">
        <w:rPr>
          <w:rFonts w:ascii="Times New Roman" w:hAnsi="Times New Roman" w:cs="Times New Roman"/>
        </w:rPr>
        <w:t xml:space="preserve">usiness, </w:t>
      </w:r>
      <w:r w:rsidR="0079426E" w:rsidRPr="007102CB">
        <w:rPr>
          <w:rFonts w:ascii="Times New Roman" w:hAnsi="Times New Roman" w:cs="Times New Roman"/>
        </w:rPr>
        <w:t>e</w:t>
      </w:r>
      <w:r w:rsidR="00990DC8" w:rsidRPr="007102CB">
        <w:rPr>
          <w:rFonts w:ascii="Times New Roman" w:hAnsi="Times New Roman" w:cs="Times New Roman"/>
        </w:rPr>
        <w:t xml:space="preserve">nvironment and </w:t>
      </w:r>
      <w:r w:rsidR="0079426E" w:rsidRPr="007102CB">
        <w:rPr>
          <w:rFonts w:ascii="Times New Roman" w:hAnsi="Times New Roman" w:cs="Times New Roman"/>
        </w:rPr>
        <w:t>h</w:t>
      </w:r>
      <w:r w:rsidR="00990DC8" w:rsidRPr="007102CB">
        <w:rPr>
          <w:rFonts w:ascii="Times New Roman" w:hAnsi="Times New Roman" w:cs="Times New Roman"/>
        </w:rPr>
        <w:t xml:space="preserve">uman </w:t>
      </w:r>
      <w:r w:rsidR="00267D9A" w:rsidRPr="007102CB">
        <w:rPr>
          <w:rFonts w:ascii="Times New Roman" w:hAnsi="Times New Roman" w:cs="Times New Roman"/>
        </w:rPr>
        <w:t>r</w:t>
      </w:r>
      <w:r w:rsidR="00990DC8" w:rsidRPr="007102CB">
        <w:rPr>
          <w:rFonts w:ascii="Times New Roman" w:hAnsi="Times New Roman" w:cs="Times New Roman"/>
        </w:rPr>
        <w:t>ights (1</w:t>
      </w:r>
      <w:r w:rsidR="00D22050" w:rsidRPr="007102CB">
        <w:rPr>
          <w:rFonts w:ascii="Times New Roman" w:hAnsi="Times New Roman" w:cs="Times New Roman"/>
        </w:rPr>
        <w:t>3</w:t>
      </w:r>
      <w:r w:rsidR="00990DC8" w:rsidRPr="007102CB">
        <w:rPr>
          <w:rFonts w:ascii="Times New Roman" w:hAnsi="Times New Roman" w:cs="Times New Roman"/>
        </w:rPr>
        <w:t>.6%)</w:t>
      </w:r>
      <w:r w:rsidR="00267D9A" w:rsidRPr="007102CB">
        <w:rPr>
          <w:rFonts w:ascii="Times New Roman" w:hAnsi="Times New Roman" w:cs="Times New Roman"/>
        </w:rPr>
        <w:t>;</w:t>
      </w:r>
      <w:r w:rsidR="00990DC8" w:rsidRPr="007102CB">
        <w:rPr>
          <w:rFonts w:ascii="Times New Roman" w:hAnsi="Times New Roman" w:cs="Times New Roman"/>
        </w:rPr>
        <w:t xml:space="preserve"> and </w:t>
      </w:r>
      <w:r w:rsidR="00267D9A" w:rsidRPr="007102CB">
        <w:rPr>
          <w:rFonts w:ascii="Times New Roman" w:hAnsi="Times New Roman" w:cs="Times New Roman"/>
        </w:rPr>
        <w:t>r</w:t>
      </w:r>
      <w:r w:rsidR="00D22050" w:rsidRPr="007102CB">
        <w:rPr>
          <w:rFonts w:ascii="Times New Roman" w:hAnsi="Times New Roman" w:cs="Times New Roman"/>
        </w:rPr>
        <w:t xml:space="preserve">ights of the </w:t>
      </w:r>
      <w:r w:rsidR="00267D9A" w:rsidRPr="007102CB">
        <w:rPr>
          <w:rFonts w:ascii="Times New Roman" w:hAnsi="Times New Roman" w:cs="Times New Roman"/>
        </w:rPr>
        <w:t>c</w:t>
      </w:r>
      <w:r w:rsidR="00D22050" w:rsidRPr="007102CB">
        <w:rPr>
          <w:rFonts w:ascii="Times New Roman" w:hAnsi="Times New Roman" w:cs="Times New Roman"/>
        </w:rPr>
        <w:t>hild (12%)</w:t>
      </w:r>
      <w:r w:rsidR="00267D9A" w:rsidRPr="007102CB">
        <w:rPr>
          <w:rFonts w:ascii="Times New Roman" w:hAnsi="Times New Roman" w:cs="Times New Roman"/>
        </w:rPr>
        <w:t>;</w:t>
      </w:r>
      <w:r w:rsidR="00D22050" w:rsidRPr="007102CB">
        <w:rPr>
          <w:rFonts w:ascii="Times New Roman" w:hAnsi="Times New Roman" w:cs="Times New Roman"/>
        </w:rPr>
        <w:t xml:space="preserve"> </w:t>
      </w:r>
      <w:r w:rsidR="00C83736" w:rsidRPr="007102CB">
        <w:rPr>
          <w:rFonts w:ascii="Times New Roman" w:hAnsi="Times New Roman" w:cs="Times New Roman"/>
        </w:rPr>
        <w:t xml:space="preserve">states on the other hand prioritised </w:t>
      </w:r>
      <w:r w:rsidR="00267D9A" w:rsidRPr="007102CB">
        <w:rPr>
          <w:rFonts w:ascii="Times New Roman" w:hAnsi="Times New Roman" w:cs="Times New Roman"/>
        </w:rPr>
        <w:t>t</w:t>
      </w:r>
      <w:r w:rsidR="00C83736" w:rsidRPr="007102CB">
        <w:rPr>
          <w:rFonts w:ascii="Times New Roman" w:hAnsi="Times New Roman" w:cs="Times New Roman"/>
        </w:rPr>
        <w:t xml:space="preserve">orture and </w:t>
      </w:r>
      <w:r w:rsidR="00267D9A" w:rsidRPr="007102CB">
        <w:rPr>
          <w:rFonts w:ascii="Times New Roman" w:hAnsi="Times New Roman" w:cs="Times New Roman"/>
        </w:rPr>
        <w:t>d</w:t>
      </w:r>
      <w:r w:rsidR="00C83736" w:rsidRPr="007102CB">
        <w:rPr>
          <w:rFonts w:ascii="Times New Roman" w:hAnsi="Times New Roman" w:cs="Times New Roman"/>
        </w:rPr>
        <w:t>etention (</w:t>
      </w:r>
      <w:r w:rsidR="00E54F1D" w:rsidRPr="007102CB">
        <w:rPr>
          <w:rFonts w:ascii="Times New Roman" w:hAnsi="Times New Roman" w:cs="Times New Roman"/>
        </w:rPr>
        <w:t>12.6%)</w:t>
      </w:r>
      <w:r w:rsidR="00267D9A" w:rsidRPr="007102CB">
        <w:rPr>
          <w:rFonts w:ascii="Times New Roman" w:hAnsi="Times New Roman" w:cs="Times New Roman"/>
        </w:rPr>
        <w:t>;</w:t>
      </w:r>
      <w:r w:rsidR="00E54F1D" w:rsidRPr="007102CB">
        <w:rPr>
          <w:rFonts w:ascii="Times New Roman" w:hAnsi="Times New Roman" w:cs="Times New Roman"/>
        </w:rPr>
        <w:t xml:space="preserve"> </w:t>
      </w:r>
      <w:r w:rsidR="00267D9A" w:rsidRPr="007102CB">
        <w:rPr>
          <w:rFonts w:ascii="Times New Roman" w:hAnsi="Times New Roman" w:cs="Times New Roman"/>
        </w:rPr>
        <w:t>r</w:t>
      </w:r>
      <w:r w:rsidR="00E54F1D" w:rsidRPr="007102CB">
        <w:rPr>
          <w:rFonts w:ascii="Times New Roman" w:hAnsi="Times New Roman" w:cs="Times New Roman"/>
        </w:rPr>
        <w:t xml:space="preserve">ight to </w:t>
      </w:r>
      <w:r w:rsidR="00267D9A" w:rsidRPr="007102CB">
        <w:rPr>
          <w:rFonts w:ascii="Times New Roman" w:hAnsi="Times New Roman" w:cs="Times New Roman"/>
        </w:rPr>
        <w:t>h</w:t>
      </w:r>
      <w:r w:rsidR="00E54F1D" w:rsidRPr="007102CB">
        <w:rPr>
          <w:rFonts w:ascii="Times New Roman" w:hAnsi="Times New Roman" w:cs="Times New Roman"/>
        </w:rPr>
        <w:t xml:space="preserve">ealth and </w:t>
      </w:r>
      <w:r w:rsidR="00267D9A" w:rsidRPr="007102CB">
        <w:rPr>
          <w:rFonts w:ascii="Times New Roman" w:hAnsi="Times New Roman" w:cs="Times New Roman"/>
        </w:rPr>
        <w:t>r</w:t>
      </w:r>
      <w:r w:rsidR="00E54F1D" w:rsidRPr="007102CB">
        <w:rPr>
          <w:rFonts w:ascii="Times New Roman" w:hAnsi="Times New Roman" w:cs="Times New Roman"/>
        </w:rPr>
        <w:t xml:space="preserve">eproductive </w:t>
      </w:r>
      <w:r w:rsidR="00267D9A" w:rsidRPr="007102CB">
        <w:rPr>
          <w:rFonts w:ascii="Times New Roman" w:hAnsi="Times New Roman" w:cs="Times New Roman"/>
        </w:rPr>
        <w:t>r</w:t>
      </w:r>
      <w:r w:rsidR="00E54F1D" w:rsidRPr="007102CB">
        <w:rPr>
          <w:rFonts w:ascii="Times New Roman" w:hAnsi="Times New Roman" w:cs="Times New Roman"/>
        </w:rPr>
        <w:t>ights (</w:t>
      </w:r>
      <w:r w:rsidR="001943DF" w:rsidRPr="007102CB">
        <w:rPr>
          <w:rFonts w:ascii="Times New Roman" w:hAnsi="Times New Roman" w:cs="Times New Roman"/>
        </w:rPr>
        <w:t>12.6%)</w:t>
      </w:r>
      <w:r w:rsidR="00267D9A" w:rsidRPr="007102CB">
        <w:rPr>
          <w:rFonts w:ascii="Times New Roman" w:hAnsi="Times New Roman" w:cs="Times New Roman"/>
        </w:rPr>
        <w:t>;</w:t>
      </w:r>
      <w:r w:rsidR="001943DF" w:rsidRPr="007102CB">
        <w:rPr>
          <w:rFonts w:ascii="Times New Roman" w:hAnsi="Times New Roman" w:cs="Times New Roman"/>
        </w:rPr>
        <w:t xml:space="preserve"> and </w:t>
      </w:r>
      <w:r w:rsidR="00267D9A" w:rsidRPr="007102CB">
        <w:rPr>
          <w:rFonts w:ascii="Times New Roman" w:hAnsi="Times New Roman" w:cs="Times New Roman"/>
        </w:rPr>
        <w:t>s</w:t>
      </w:r>
      <w:r w:rsidR="001943DF" w:rsidRPr="007102CB">
        <w:rPr>
          <w:rFonts w:ascii="Times New Roman" w:hAnsi="Times New Roman" w:cs="Times New Roman"/>
        </w:rPr>
        <w:t xml:space="preserve">exual and </w:t>
      </w:r>
      <w:r w:rsidR="00267D9A" w:rsidRPr="007102CB">
        <w:rPr>
          <w:rFonts w:ascii="Times New Roman" w:hAnsi="Times New Roman" w:cs="Times New Roman"/>
        </w:rPr>
        <w:t>g</w:t>
      </w:r>
      <w:r w:rsidR="001943DF" w:rsidRPr="007102CB">
        <w:rPr>
          <w:rFonts w:ascii="Times New Roman" w:hAnsi="Times New Roman" w:cs="Times New Roman"/>
        </w:rPr>
        <w:t>ender-</w:t>
      </w:r>
      <w:r w:rsidR="00267D9A" w:rsidRPr="007102CB">
        <w:rPr>
          <w:rFonts w:ascii="Times New Roman" w:hAnsi="Times New Roman" w:cs="Times New Roman"/>
        </w:rPr>
        <w:t>b</w:t>
      </w:r>
      <w:r w:rsidR="001943DF" w:rsidRPr="007102CB">
        <w:rPr>
          <w:rFonts w:ascii="Times New Roman" w:hAnsi="Times New Roman" w:cs="Times New Roman"/>
        </w:rPr>
        <w:t xml:space="preserve">ased </w:t>
      </w:r>
      <w:r w:rsidR="00267D9A" w:rsidRPr="007102CB">
        <w:rPr>
          <w:rFonts w:ascii="Times New Roman" w:hAnsi="Times New Roman" w:cs="Times New Roman"/>
        </w:rPr>
        <w:t>v</w:t>
      </w:r>
      <w:r w:rsidR="001943DF" w:rsidRPr="007102CB">
        <w:rPr>
          <w:rFonts w:ascii="Times New Roman" w:hAnsi="Times New Roman" w:cs="Times New Roman"/>
        </w:rPr>
        <w:t xml:space="preserve">iolence (11.9%). </w:t>
      </w:r>
    </w:p>
    <w:p w14:paraId="74CC7A1B" w14:textId="0475F0A3" w:rsidR="009F7288" w:rsidRPr="007102CB" w:rsidRDefault="001D3FFF"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The above disparity both in terms of alignment and prioritisation narrowed significan</w:t>
      </w:r>
      <w:r w:rsidR="00451CEE" w:rsidRPr="007102CB">
        <w:rPr>
          <w:rFonts w:ascii="Times New Roman" w:hAnsi="Times New Roman" w:cs="Times New Roman"/>
        </w:rPr>
        <w:t>tly during UPR 3</w:t>
      </w:r>
      <w:r w:rsidR="001D02DB" w:rsidRPr="007102CB">
        <w:rPr>
          <w:rFonts w:ascii="Times New Roman" w:hAnsi="Times New Roman" w:cs="Times New Roman"/>
        </w:rPr>
        <w:t xml:space="preserve"> and</w:t>
      </w:r>
      <w:r w:rsidR="00451CEE" w:rsidRPr="007102CB">
        <w:rPr>
          <w:rFonts w:ascii="Times New Roman" w:hAnsi="Times New Roman" w:cs="Times New Roman"/>
        </w:rPr>
        <w:t xml:space="preserve"> for Zambia. </w:t>
      </w:r>
      <w:r w:rsidR="001D02DB" w:rsidRPr="007102CB">
        <w:rPr>
          <w:rFonts w:ascii="Times New Roman" w:hAnsi="Times New Roman" w:cs="Times New Roman"/>
        </w:rPr>
        <w:t>Nine out of the 26</w:t>
      </w:r>
      <w:r w:rsidR="00DD7554" w:rsidRPr="007102CB">
        <w:rPr>
          <w:rFonts w:ascii="Times New Roman" w:hAnsi="Times New Roman" w:cs="Times New Roman"/>
        </w:rPr>
        <w:t xml:space="preserve"> (about </w:t>
      </w:r>
      <w:r w:rsidR="0025676A" w:rsidRPr="007102CB">
        <w:rPr>
          <w:rFonts w:ascii="Times New Roman" w:hAnsi="Times New Roman" w:cs="Times New Roman"/>
        </w:rPr>
        <w:t>35%)</w:t>
      </w:r>
      <w:r w:rsidR="001D02DB" w:rsidRPr="007102CB">
        <w:rPr>
          <w:rFonts w:ascii="Times New Roman" w:hAnsi="Times New Roman" w:cs="Times New Roman"/>
        </w:rPr>
        <w:t xml:space="preserve"> thematic areas categorised</w:t>
      </w:r>
      <w:r w:rsidR="00DD7554" w:rsidRPr="007102CB">
        <w:rPr>
          <w:rFonts w:ascii="Times New Roman" w:hAnsi="Times New Roman" w:cs="Times New Roman"/>
        </w:rPr>
        <w:t xml:space="preserve"> for UPR 3</w:t>
      </w:r>
      <w:r w:rsidR="001D02DB" w:rsidRPr="007102CB">
        <w:rPr>
          <w:rFonts w:ascii="Times New Roman" w:hAnsi="Times New Roman" w:cs="Times New Roman"/>
        </w:rPr>
        <w:t xml:space="preserve"> were misaligned, </w:t>
      </w:r>
      <w:r w:rsidR="00677B78" w:rsidRPr="007102CB">
        <w:rPr>
          <w:rFonts w:ascii="Times New Roman" w:hAnsi="Times New Roman" w:cs="Times New Roman"/>
        </w:rPr>
        <w:t>and four out of 30 (</w:t>
      </w:r>
      <w:r w:rsidR="000E4BBF" w:rsidRPr="007102CB">
        <w:rPr>
          <w:rFonts w:ascii="Times New Roman" w:hAnsi="Times New Roman" w:cs="Times New Roman"/>
        </w:rPr>
        <w:t>about 13%)</w:t>
      </w:r>
      <w:r w:rsidR="00EA1ACC" w:rsidRPr="007102CB">
        <w:rPr>
          <w:rFonts w:ascii="Times New Roman" w:hAnsi="Times New Roman" w:cs="Times New Roman"/>
        </w:rPr>
        <w:t xml:space="preserve"> during UPR 4. Zambia </w:t>
      </w:r>
      <w:r w:rsidR="00745715" w:rsidRPr="007102CB">
        <w:rPr>
          <w:rFonts w:ascii="Times New Roman" w:hAnsi="Times New Roman" w:cs="Times New Roman"/>
        </w:rPr>
        <w:t>was</w:t>
      </w:r>
      <w:r w:rsidR="00EA1ACC" w:rsidRPr="007102CB">
        <w:rPr>
          <w:rFonts w:ascii="Times New Roman" w:hAnsi="Times New Roman" w:cs="Times New Roman"/>
        </w:rPr>
        <w:t xml:space="preserve"> therefore</w:t>
      </w:r>
      <w:r w:rsidR="008F75CE" w:rsidRPr="007102CB">
        <w:rPr>
          <w:rFonts w:ascii="Times New Roman" w:hAnsi="Times New Roman" w:cs="Times New Roman"/>
        </w:rPr>
        <w:t xml:space="preserve"> having a stronger</w:t>
      </w:r>
      <w:r w:rsidR="00EA1ACC" w:rsidRPr="007102CB">
        <w:rPr>
          <w:rFonts w:ascii="Times New Roman" w:hAnsi="Times New Roman" w:cs="Times New Roman"/>
        </w:rPr>
        <w:t xml:space="preserve"> alignment of recommendations</w:t>
      </w:r>
      <w:r w:rsidR="008F75CE" w:rsidRPr="007102CB">
        <w:rPr>
          <w:rFonts w:ascii="Times New Roman" w:hAnsi="Times New Roman" w:cs="Times New Roman"/>
        </w:rPr>
        <w:t xml:space="preserve"> across UPR cycles</w:t>
      </w:r>
      <w:r w:rsidR="002E2A2E" w:rsidRPr="007102CB">
        <w:rPr>
          <w:rFonts w:ascii="Times New Roman" w:hAnsi="Times New Roman" w:cs="Times New Roman"/>
        </w:rPr>
        <w:t xml:space="preserve"> </w:t>
      </w:r>
      <w:r w:rsidR="008F75CE" w:rsidRPr="007102CB">
        <w:rPr>
          <w:rFonts w:ascii="Times New Roman" w:hAnsi="Times New Roman" w:cs="Times New Roman"/>
        </w:rPr>
        <w:t xml:space="preserve">from </w:t>
      </w:r>
      <w:r w:rsidR="00FC7738" w:rsidRPr="007102CB">
        <w:rPr>
          <w:rFonts w:ascii="Times New Roman" w:hAnsi="Times New Roman" w:cs="Times New Roman"/>
        </w:rPr>
        <w:t xml:space="preserve">57% </w:t>
      </w:r>
      <w:r w:rsidR="009A7051" w:rsidRPr="007102CB">
        <w:rPr>
          <w:rFonts w:ascii="Times New Roman" w:hAnsi="Times New Roman" w:cs="Times New Roman"/>
        </w:rPr>
        <w:t xml:space="preserve">(UPR 1) to 65% (UPR 2) and </w:t>
      </w:r>
      <w:r w:rsidR="00BC3426" w:rsidRPr="007102CB">
        <w:rPr>
          <w:rFonts w:ascii="Times New Roman" w:hAnsi="Times New Roman" w:cs="Times New Roman"/>
        </w:rPr>
        <w:t>87% (UPR 4)</w:t>
      </w:r>
      <w:r w:rsidR="00D5572F" w:rsidRPr="007102CB">
        <w:rPr>
          <w:rFonts w:ascii="Times New Roman" w:hAnsi="Times New Roman" w:cs="Times New Roman"/>
        </w:rPr>
        <w:t xml:space="preserve">. </w:t>
      </w:r>
      <w:r w:rsidR="00745715" w:rsidRPr="007102CB">
        <w:rPr>
          <w:rFonts w:ascii="Times New Roman" w:hAnsi="Times New Roman" w:cs="Times New Roman"/>
        </w:rPr>
        <w:t>This alignment was a</w:t>
      </w:r>
      <w:r w:rsidR="00084375" w:rsidRPr="007102CB">
        <w:rPr>
          <w:rFonts w:ascii="Times New Roman" w:hAnsi="Times New Roman" w:cs="Times New Roman"/>
        </w:rPr>
        <w:t xml:space="preserve">lso evident in terms of issue prioritisation. The top thematic issue in both state and NGO recommendations </w:t>
      </w:r>
      <w:r w:rsidR="00F049A0" w:rsidRPr="007102CB">
        <w:rPr>
          <w:rFonts w:ascii="Times New Roman" w:hAnsi="Times New Roman" w:cs="Times New Roman"/>
        </w:rPr>
        <w:t xml:space="preserve">to Zambia during UPR 3 and UPR 4 was </w:t>
      </w:r>
      <w:r w:rsidR="00CD32E8" w:rsidRPr="007102CB">
        <w:rPr>
          <w:rFonts w:ascii="Times New Roman" w:hAnsi="Times New Roman" w:cs="Times New Roman"/>
        </w:rPr>
        <w:t xml:space="preserve">on children’s rights. </w:t>
      </w:r>
      <w:r w:rsidR="00DA75E0" w:rsidRPr="007102CB">
        <w:rPr>
          <w:rFonts w:ascii="Times New Roman" w:hAnsi="Times New Roman" w:cs="Times New Roman"/>
        </w:rPr>
        <w:t xml:space="preserve">One area where disparity continued to exist was on access to justice. </w:t>
      </w:r>
      <w:r w:rsidR="00771CA5" w:rsidRPr="007102CB">
        <w:rPr>
          <w:rFonts w:ascii="Times New Roman" w:hAnsi="Times New Roman" w:cs="Times New Roman"/>
        </w:rPr>
        <w:t xml:space="preserve">NGOs </w:t>
      </w:r>
      <w:r w:rsidR="00BB3F47" w:rsidRPr="007102CB">
        <w:rPr>
          <w:rFonts w:ascii="Times New Roman" w:hAnsi="Times New Roman" w:cs="Times New Roman"/>
        </w:rPr>
        <w:t xml:space="preserve">consistently </w:t>
      </w:r>
      <w:r w:rsidR="00771CA5" w:rsidRPr="007102CB">
        <w:rPr>
          <w:rFonts w:ascii="Times New Roman" w:hAnsi="Times New Roman" w:cs="Times New Roman"/>
        </w:rPr>
        <w:t xml:space="preserve">made recommendations on this issue in all three UPR cycles examined </w:t>
      </w:r>
      <w:r w:rsidR="00D83520" w:rsidRPr="007102CB">
        <w:rPr>
          <w:rFonts w:ascii="Times New Roman" w:hAnsi="Times New Roman" w:cs="Times New Roman"/>
        </w:rPr>
        <w:t xml:space="preserve">but states did not make any recommendation on this issue in any of the cycles. </w:t>
      </w:r>
      <w:r w:rsidR="00175A17" w:rsidRPr="007102CB">
        <w:rPr>
          <w:rFonts w:ascii="Times New Roman" w:hAnsi="Times New Roman" w:cs="Times New Roman"/>
        </w:rPr>
        <w:t xml:space="preserve">Also, whereas, thematic issues like the death penalty and </w:t>
      </w:r>
      <w:r w:rsidR="004C47BB" w:rsidRPr="007102CB">
        <w:rPr>
          <w:rFonts w:ascii="Times New Roman" w:hAnsi="Times New Roman" w:cs="Times New Roman"/>
        </w:rPr>
        <w:t xml:space="preserve">migration was prioritised by States across UPR 3 and 4 for Zambia, these did not receive the same level of </w:t>
      </w:r>
      <w:r w:rsidR="00E13549" w:rsidRPr="007102CB">
        <w:rPr>
          <w:rFonts w:ascii="Times New Roman" w:hAnsi="Times New Roman" w:cs="Times New Roman"/>
        </w:rPr>
        <w:t xml:space="preserve">attention from NGOs. </w:t>
      </w:r>
      <w:r w:rsidR="00E773A7" w:rsidRPr="007102CB">
        <w:rPr>
          <w:rFonts w:ascii="Times New Roman" w:hAnsi="Times New Roman" w:cs="Times New Roman"/>
        </w:rPr>
        <w:t>The</w:t>
      </w:r>
      <w:r w:rsidR="001569EE" w:rsidRPr="007102CB">
        <w:rPr>
          <w:rFonts w:ascii="Times New Roman" w:hAnsi="Times New Roman" w:cs="Times New Roman"/>
        </w:rPr>
        <w:t xml:space="preserve">re is less of an observable </w:t>
      </w:r>
      <w:r w:rsidR="00F96E30" w:rsidRPr="007102CB">
        <w:rPr>
          <w:rFonts w:ascii="Times New Roman" w:hAnsi="Times New Roman" w:cs="Times New Roman"/>
        </w:rPr>
        <w:t>shift in thematic issues for Zambia across UPR 3 and 4</w:t>
      </w:r>
      <w:r w:rsidR="00E56803" w:rsidRPr="007102CB">
        <w:rPr>
          <w:rFonts w:ascii="Times New Roman" w:hAnsi="Times New Roman" w:cs="Times New Roman"/>
        </w:rPr>
        <w:t xml:space="preserve"> and s</w:t>
      </w:r>
      <w:r w:rsidR="00A537F2" w:rsidRPr="007102CB">
        <w:rPr>
          <w:rFonts w:ascii="Times New Roman" w:hAnsi="Times New Roman" w:cs="Times New Roman"/>
        </w:rPr>
        <w:t>ome</w:t>
      </w:r>
      <w:r w:rsidR="00E56803" w:rsidRPr="007102CB">
        <w:rPr>
          <w:rFonts w:ascii="Times New Roman" w:hAnsi="Times New Roman" w:cs="Times New Roman"/>
        </w:rPr>
        <w:t xml:space="preserve"> thematic issues were equally raised by states and NG</w:t>
      </w:r>
      <w:r w:rsidR="003E6313" w:rsidRPr="007102CB">
        <w:rPr>
          <w:rFonts w:ascii="Times New Roman" w:hAnsi="Times New Roman" w:cs="Times New Roman"/>
        </w:rPr>
        <w:t>Os when compared to the proportion of recommendations we analysed (</w:t>
      </w:r>
      <w:proofErr w:type="spellStart"/>
      <w:r w:rsidR="003E6313" w:rsidRPr="007102CB">
        <w:rPr>
          <w:rFonts w:ascii="Times New Roman" w:hAnsi="Times New Roman" w:cs="Times New Roman"/>
        </w:rPr>
        <w:t>e.g</w:t>
      </w:r>
      <w:proofErr w:type="spellEnd"/>
      <w:r w:rsidR="003E6313" w:rsidRPr="007102CB">
        <w:rPr>
          <w:rFonts w:ascii="Times New Roman" w:hAnsi="Times New Roman" w:cs="Times New Roman"/>
        </w:rPr>
        <w:t xml:space="preserve"> </w:t>
      </w:r>
      <w:r w:rsidR="00A537F2" w:rsidRPr="007102CB">
        <w:rPr>
          <w:rFonts w:ascii="Times New Roman" w:hAnsi="Times New Roman" w:cs="Times New Roman"/>
        </w:rPr>
        <w:t>right to health and reproductive rights)</w:t>
      </w:r>
    </w:p>
    <w:p w14:paraId="0EF94F7F" w14:textId="081E248A" w:rsidR="0028153B" w:rsidRPr="007102CB" w:rsidRDefault="003D0D88" w:rsidP="00770443">
      <w:pPr>
        <w:spacing w:before="100" w:beforeAutospacing="1" w:after="100" w:afterAutospacing="1" w:line="276" w:lineRule="auto"/>
        <w:jc w:val="both"/>
        <w:rPr>
          <w:rFonts w:ascii="Times New Roman" w:hAnsi="Times New Roman" w:cs="Times New Roman"/>
        </w:rPr>
      </w:pPr>
      <w:r w:rsidRPr="007102CB">
        <w:rPr>
          <w:rFonts w:ascii="Times New Roman" w:hAnsi="Times New Roman" w:cs="Times New Roman"/>
        </w:rPr>
        <w:t xml:space="preserve">There are plausible explanations for a consistent stronger alignment </w:t>
      </w:r>
      <w:r w:rsidR="00B7754C" w:rsidRPr="007102CB">
        <w:rPr>
          <w:rFonts w:ascii="Times New Roman" w:hAnsi="Times New Roman" w:cs="Times New Roman"/>
        </w:rPr>
        <w:t xml:space="preserve">of state vs NGO recommendations across UPR 2 and 3 in Kenya than was </w:t>
      </w:r>
      <w:r w:rsidR="004E5828" w:rsidRPr="007102CB">
        <w:rPr>
          <w:rFonts w:ascii="Times New Roman" w:hAnsi="Times New Roman" w:cs="Times New Roman"/>
        </w:rPr>
        <w:t xml:space="preserve">the case with the Zambia. While it is challenging to establish a direct causation, </w:t>
      </w:r>
      <w:r w:rsidR="00626E3D" w:rsidRPr="007102CB">
        <w:rPr>
          <w:rFonts w:ascii="Times New Roman" w:hAnsi="Times New Roman" w:cs="Times New Roman"/>
        </w:rPr>
        <w:t xml:space="preserve">it can be argued that the existence of </w:t>
      </w:r>
      <w:bookmarkStart w:id="1" w:name="_Hlk183609747"/>
      <w:r w:rsidR="00626E3D" w:rsidRPr="007102CB">
        <w:rPr>
          <w:rFonts w:ascii="Times New Roman" w:hAnsi="Times New Roman" w:cs="Times New Roman"/>
        </w:rPr>
        <w:t xml:space="preserve">a well organised </w:t>
      </w:r>
      <w:r w:rsidR="00550CE6" w:rsidRPr="007102CB">
        <w:rPr>
          <w:rFonts w:ascii="Times New Roman" w:hAnsi="Times New Roman" w:cs="Times New Roman"/>
        </w:rPr>
        <w:t>national</w:t>
      </w:r>
      <w:r w:rsidR="00626E3D" w:rsidRPr="007102CB">
        <w:rPr>
          <w:rFonts w:ascii="Times New Roman" w:hAnsi="Times New Roman" w:cs="Times New Roman"/>
        </w:rPr>
        <w:t xml:space="preserve"> NGO </w:t>
      </w:r>
      <w:r w:rsidR="00C13E65" w:rsidRPr="007102CB">
        <w:rPr>
          <w:rFonts w:ascii="Times New Roman" w:hAnsi="Times New Roman" w:cs="Times New Roman"/>
        </w:rPr>
        <w:t>UPR coalition, lobbying and advocacy strat</w:t>
      </w:r>
      <w:r w:rsidR="00674CB0" w:rsidRPr="007102CB">
        <w:rPr>
          <w:rFonts w:ascii="Times New Roman" w:hAnsi="Times New Roman" w:cs="Times New Roman"/>
        </w:rPr>
        <w:t>egy contributed to this consistent strong alignment of recommendations in the case of Kenya</w:t>
      </w:r>
      <w:bookmarkEnd w:id="1"/>
      <w:r w:rsidR="00674CB0" w:rsidRPr="007102CB">
        <w:rPr>
          <w:rFonts w:ascii="Times New Roman" w:hAnsi="Times New Roman" w:cs="Times New Roman"/>
        </w:rPr>
        <w:t xml:space="preserve">. </w:t>
      </w:r>
      <w:r w:rsidR="00A708D9" w:rsidRPr="007102CB">
        <w:rPr>
          <w:rFonts w:ascii="Times New Roman" w:hAnsi="Times New Roman" w:cs="Times New Roman"/>
        </w:rPr>
        <w:t xml:space="preserve">There were over </w:t>
      </w:r>
      <w:r w:rsidR="00B938EE" w:rsidRPr="007102CB">
        <w:rPr>
          <w:rFonts w:ascii="Times New Roman" w:hAnsi="Times New Roman" w:cs="Times New Roman"/>
        </w:rPr>
        <w:t>34</w:t>
      </w:r>
      <w:r w:rsidR="00A708D9" w:rsidRPr="007102CB">
        <w:rPr>
          <w:rFonts w:ascii="Times New Roman" w:hAnsi="Times New Roman" w:cs="Times New Roman"/>
        </w:rPr>
        <w:t xml:space="preserve"> </w:t>
      </w:r>
      <w:r w:rsidR="00086571" w:rsidRPr="007102CB">
        <w:rPr>
          <w:rFonts w:ascii="Times New Roman" w:hAnsi="Times New Roman" w:cs="Times New Roman"/>
        </w:rPr>
        <w:t xml:space="preserve">domestic </w:t>
      </w:r>
      <w:r w:rsidR="00A708D9" w:rsidRPr="007102CB">
        <w:rPr>
          <w:rFonts w:ascii="Times New Roman" w:hAnsi="Times New Roman" w:cs="Times New Roman"/>
        </w:rPr>
        <w:t xml:space="preserve">NGO reports </w:t>
      </w:r>
      <w:r w:rsidR="00086571" w:rsidRPr="007102CB">
        <w:rPr>
          <w:rFonts w:ascii="Times New Roman" w:hAnsi="Times New Roman" w:cs="Times New Roman"/>
        </w:rPr>
        <w:t xml:space="preserve">for UPR 3 and </w:t>
      </w:r>
      <w:r w:rsidR="00BF114A" w:rsidRPr="007102CB">
        <w:rPr>
          <w:rFonts w:ascii="Times New Roman" w:hAnsi="Times New Roman" w:cs="Times New Roman"/>
        </w:rPr>
        <w:t>15</w:t>
      </w:r>
      <w:r w:rsidR="00E36109" w:rsidRPr="007102CB">
        <w:rPr>
          <w:rFonts w:ascii="Times New Roman" w:hAnsi="Times New Roman" w:cs="Times New Roman"/>
        </w:rPr>
        <w:t xml:space="preserve"> reports for UPR 2 and the majority of these reports were submitted by NGO coalitions rather than individual NGOs. For </w:t>
      </w:r>
      <w:r w:rsidR="009F5B85" w:rsidRPr="007102CB">
        <w:rPr>
          <w:rFonts w:ascii="Times New Roman" w:hAnsi="Times New Roman" w:cs="Times New Roman"/>
        </w:rPr>
        <w:t>example,</w:t>
      </w:r>
      <w:r w:rsidR="00E36109" w:rsidRPr="007102CB">
        <w:rPr>
          <w:rFonts w:ascii="Times New Roman" w:hAnsi="Times New Roman" w:cs="Times New Roman"/>
        </w:rPr>
        <w:t xml:space="preserve"> the re</w:t>
      </w:r>
      <w:r w:rsidR="00BD4444" w:rsidRPr="007102CB">
        <w:rPr>
          <w:rFonts w:ascii="Times New Roman" w:hAnsi="Times New Roman" w:cs="Times New Roman"/>
        </w:rPr>
        <w:t xml:space="preserve">port put together by the </w:t>
      </w:r>
      <w:r w:rsidR="00571C07" w:rsidRPr="007102CB">
        <w:rPr>
          <w:rStyle w:val="normaltextrun"/>
          <w:rFonts w:ascii="Times New Roman" w:hAnsi="Times New Roman" w:cs="Times New Roman"/>
          <w:bdr w:val="none" w:sz="0" w:space="0" w:color="auto" w:frame="1"/>
        </w:rPr>
        <w:t xml:space="preserve">Kenya UPR Stakeholders' Coalition represented a membership of </w:t>
      </w:r>
      <w:r w:rsidR="002447CB" w:rsidRPr="007102CB">
        <w:rPr>
          <w:rStyle w:val="normaltextrun"/>
          <w:rFonts w:ascii="Times New Roman" w:hAnsi="Times New Roman" w:cs="Times New Roman"/>
          <w:bdr w:val="none" w:sz="0" w:space="0" w:color="auto" w:frame="1"/>
        </w:rPr>
        <w:t xml:space="preserve">over 97 NGOs across 9 broad thematic clusters. </w:t>
      </w:r>
      <w:proofErr w:type="spellStart"/>
      <w:r w:rsidR="002447CB" w:rsidRPr="007102CB">
        <w:rPr>
          <w:rStyle w:val="normaltextrun"/>
          <w:rFonts w:ascii="Times New Roman" w:hAnsi="Times New Roman" w:cs="Times New Roman"/>
          <w:bdr w:val="none" w:sz="0" w:space="0" w:color="auto" w:frame="1"/>
        </w:rPr>
        <w:t>Etone</w:t>
      </w:r>
      <w:proofErr w:type="spellEnd"/>
      <w:r w:rsidR="002447CB" w:rsidRPr="007102CB">
        <w:rPr>
          <w:rStyle w:val="normaltextrun"/>
          <w:rFonts w:ascii="Times New Roman" w:hAnsi="Times New Roman" w:cs="Times New Roman"/>
          <w:bdr w:val="none" w:sz="0" w:space="0" w:color="auto" w:frame="1"/>
        </w:rPr>
        <w:t xml:space="preserve"> has argued </w:t>
      </w:r>
      <w:r w:rsidR="004A4980" w:rsidRPr="007102CB">
        <w:rPr>
          <w:rStyle w:val="normaltextrun"/>
          <w:rFonts w:ascii="Times New Roman" w:hAnsi="Times New Roman" w:cs="Times New Roman"/>
          <w:bdr w:val="none" w:sz="0" w:space="0" w:color="auto" w:frame="1"/>
        </w:rPr>
        <w:t xml:space="preserve">provides </w:t>
      </w:r>
      <w:r w:rsidR="005962CA" w:rsidRPr="007102CB">
        <w:rPr>
          <w:rStyle w:val="normaltextrun"/>
          <w:rFonts w:ascii="Times New Roman" w:hAnsi="Times New Roman" w:cs="Times New Roman"/>
          <w:bdr w:val="none" w:sz="0" w:space="0" w:color="auto" w:frame="1"/>
        </w:rPr>
        <w:t xml:space="preserve">value to the UPR process by helping to identify and prioritise </w:t>
      </w:r>
      <w:r w:rsidR="00EE1248" w:rsidRPr="007102CB">
        <w:rPr>
          <w:rStyle w:val="normaltextrun"/>
          <w:rFonts w:ascii="Times New Roman" w:hAnsi="Times New Roman" w:cs="Times New Roman"/>
          <w:bdr w:val="none" w:sz="0" w:space="0" w:color="auto" w:frame="1"/>
        </w:rPr>
        <w:t>relevant human rights issues at the domestic level</w:t>
      </w:r>
      <w:r w:rsidR="006C70D5">
        <w:rPr>
          <w:rStyle w:val="normaltextrun"/>
          <w:rFonts w:ascii="Times New Roman" w:hAnsi="Times New Roman" w:cs="Times New Roman"/>
          <w:bdr w:val="none" w:sz="0" w:space="0" w:color="auto" w:frame="1"/>
        </w:rPr>
        <w:t>.</w:t>
      </w:r>
      <w:r w:rsidR="006C70D5">
        <w:rPr>
          <w:rStyle w:val="FootnoteReference"/>
          <w:rFonts w:ascii="Times New Roman" w:hAnsi="Times New Roman" w:cs="Times New Roman"/>
          <w:bdr w:val="none" w:sz="0" w:space="0" w:color="auto" w:frame="1"/>
        </w:rPr>
        <w:footnoteReference w:id="91"/>
      </w:r>
      <w:r w:rsidR="006C70D5">
        <w:rPr>
          <w:rStyle w:val="normaltextrun"/>
          <w:rFonts w:ascii="Times New Roman" w:hAnsi="Times New Roman" w:cs="Times New Roman"/>
          <w:bdr w:val="none" w:sz="0" w:space="0" w:color="auto" w:frame="1"/>
        </w:rPr>
        <w:t xml:space="preserve"> </w:t>
      </w:r>
      <w:r w:rsidR="004A0851" w:rsidRPr="007102CB">
        <w:rPr>
          <w:rStyle w:val="normaltextrun"/>
          <w:rFonts w:ascii="Times New Roman" w:hAnsi="Times New Roman" w:cs="Times New Roman"/>
          <w:bdr w:val="none" w:sz="0" w:space="0" w:color="auto" w:frame="1"/>
        </w:rPr>
        <w:t>This can help amplify the voices of domestic NGOs</w:t>
      </w:r>
      <w:r w:rsidR="00484D0E" w:rsidRPr="007102CB">
        <w:rPr>
          <w:rStyle w:val="normaltextrun"/>
          <w:rFonts w:ascii="Times New Roman" w:hAnsi="Times New Roman" w:cs="Times New Roman"/>
          <w:bdr w:val="none" w:sz="0" w:space="0" w:color="auto" w:frame="1"/>
        </w:rPr>
        <w:t xml:space="preserve"> and strengthen their UPR advocacy efforts. </w:t>
      </w:r>
      <w:r w:rsidR="00B10F0E" w:rsidRPr="007102CB">
        <w:rPr>
          <w:rStyle w:val="normaltextrun"/>
          <w:rFonts w:ascii="Times New Roman" w:hAnsi="Times New Roman" w:cs="Times New Roman"/>
          <w:bdr w:val="none" w:sz="0" w:space="0" w:color="auto" w:frame="1"/>
        </w:rPr>
        <w:t>In contrast, fewer domestic NGOs</w:t>
      </w:r>
      <w:r w:rsidR="009F5B85" w:rsidRPr="007102CB">
        <w:rPr>
          <w:rStyle w:val="normaltextrun"/>
          <w:rFonts w:ascii="Times New Roman" w:hAnsi="Times New Roman" w:cs="Times New Roman"/>
          <w:bdr w:val="none" w:sz="0" w:space="0" w:color="auto" w:frame="1"/>
        </w:rPr>
        <w:t xml:space="preserve"> in Zambia participated in the UPR process, there was no national UPR coalition, and the majority of NGOs submitted individual rather than joint UPR reports. </w:t>
      </w:r>
    </w:p>
    <w:p w14:paraId="29F8B6D4" w14:textId="479E539A" w:rsidR="00DB31F6" w:rsidRPr="007102CB" w:rsidRDefault="00B95B94" w:rsidP="00AA78AE">
      <w:pPr>
        <w:pStyle w:val="Heading3"/>
        <w:numPr>
          <w:ilvl w:val="0"/>
          <w:numId w:val="24"/>
        </w:numPr>
        <w:rPr>
          <w:rFonts w:ascii="Times New Roman" w:hAnsi="Times New Roman" w:cs="Times New Roman"/>
          <w:color w:val="auto"/>
        </w:rPr>
      </w:pPr>
      <w:r w:rsidRPr="007102CB">
        <w:rPr>
          <w:rFonts w:ascii="Times New Roman" w:hAnsi="Times New Roman" w:cs="Times New Roman"/>
          <w:color w:val="auto"/>
        </w:rPr>
        <w:t>Alignment on Quality of Recommendation</w:t>
      </w:r>
    </w:p>
    <w:p w14:paraId="7A263F9D" w14:textId="0FE5A64B" w:rsidR="00022BB1" w:rsidRPr="007102CB" w:rsidRDefault="00D144BF" w:rsidP="009E5F96">
      <w:pPr>
        <w:spacing w:before="100" w:beforeAutospacing="1" w:after="100" w:afterAutospacing="1" w:line="276" w:lineRule="auto"/>
        <w:jc w:val="both"/>
        <w:rPr>
          <w:rFonts w:ascii="Times New Roman" w:eastAsia="Times New Roman" w:hAnsi="Times New Roman" w:cs="Times New Roman"/>
          <w:noProof/>
          <w:sz w:val="24"/>
          <w:szCs w:val="24"/>
          <w:lang w:eastAsia="en-GB"/>
        </w:rPr>
      </w:pPr>
      <w:r w:rsidRPr="007102CB">
        <w:rPr>
          <w:rFonts w:ascii="Times New Roman" w:hAnsi="Times New Roman" w:cs="Times New Roman"/>
        </w:rPr>
        <w:t>In our analysis</w:t>
      </w:r>
      <w:r w:rsidR="00131502" w:rsidRPr="007102CB">
        <w:rPr>
          <w:rFonts w:ascii="Times New Roman" w:hAnsi="Times New Roman" w:cs="Times New Roman"/>
        </w:rPr>
        <w:t xml:space="preserve"> below, we </w:t>
      </w:r>
      <w:r w:rsidR="00EC3CF6" w:rsidRPr="007102CB">
        <w:rPr>
          <w:rFonts w:ascii="Times New Roman" w:hAnsi="Times New Roman" w:cs="Times New Roman"/>
        </w:rPr>
        <w:t>(</w:t>
      </w:r>
      <w:proofErr w:type="spellStart"/>
      <w:r w:rsidR="00EC3CF6" w:rsidRPr="007102CB">
        <w:rPr>
          <w:rFonts w:ascii="Times New Roman" w:hAnsi="Times New Roman" w:cs="Times New Roman"/>
        </w:rPr>
        <w:t>i</w:t>
      </w:r>
      <w:proofErr w:type="spellEnd"/>
      <w:r w:rsidR="00EC3CF6" w:rsidRPr="007102CB">
        <w:rPr>
          <w:rFonts w:ascii="Times New Roman" w:hAnsi="Times New Roman" w:cs="Times New Roman"/>
        </w:rPr>
        <w:t xml:space="preserve">) </w:t>
      </w:r>
      <w:r w:rsidR="009B0909" w:rsidRPr="007102CB">
        <w:rPr>
          <w:rFonts w:ascii="Times New Roman" w:hAnsi="Times New Roman" w:cs="Times New Roman"/>
        </w:rPr>
        <w:t xml:space="preserve">adopted </w:t>
      </w:r>
      <w:r w:rsidR="00EC3CF6" w:rsidRPr="007102CB">
        <w:rPr>
          <w:rFonts w:ascii="Times New Roman" w:hAnsi="Times New Roman" w:cs="Times New Roman"/>
        </w:rPr>
        <w:t>r</w:t>
      </w:r>
      <w:r w:rsidR="009B0909" w:rsidRPr="007102CB">
        <w:rPr>
          <w:rFonts w:ascii="Times New Roman" w:hAnsi="Times New Roman" w:cs="Times New Roman"/>
        </w:rPr>
        <w:t>ecommendations</w:t>
      </w:r>
      <w:r w:rsidR="00974721" w:rsidRPr="007102CB">
        <w:rPr>
          <w:rFonts w:ascii="Times New Roman" w:hAnsi="Times New Roman" w:cs="Times New Roman"/>
        </w:rPr>
        <w:t xml:space="preserve"> classified as Specific Recommendations</w:t>
      </w:r>
      <w:r w:rsidR="009B0909" w:rsidRPr="007102CB">
        <w:rPr>
          <w:rFonts w:ascii="Times New Roman" w:hAnsi="Times New Roman" w:cs="Times New Roman"/>
        </w:rPr>
        <w:t xml:space="preserve"> (Rank 5 category set out by UPR Info)</w:t>
      </w:r>
      <w:r w:rsidR="00A40835">
        <w:rPr>
          <w:rStyle w:val="FootnoteReference"/>
          <w:rFonts w:ascii="Times New Roman" w:hAnsi="Times New Roman" w:cs="Times New Roman"/>
        </w:rPr>
        <w:footnoteReference w:id="92"/>
      </w:r>
      <w:r w:rsidR="009B0909" w:rsidRPr="007102CB">
        <w:rPr>
          <w:rFonts w:ascii="Times New Roman" w:hAnsi="Times New Roman" w:cs="Times New Roman"/>
        </w:rPr>
        <w:t xml:space="preserve"> </w:t>
      </w:r>
      <w:r w:rsidR="007B0F04" w:rsidRPr="007102CB">
        <w:rPr>
          <w:rFonts w:ascii="Times New Roman" w:hAnsi="Times New Roman" w:cs="Times New Roman"/>
        </w:rPr>
        <w:t xml:space="preserve">as good quality recommendations which is more in </w:t>
      </w:r>
      <w:r w:rsidR="005E0AF6" w:rsidRPr="007102CB">
        <w:rPr>
          <w:rFonts w:ascii="Times New Roman" w:hAnsi="Times New Roman" w:cs="Times New Roman"/>
        </w:rPr>
        <w:t xml:space="preserve">line with the SMART </w:t>
      </w:r>
      <w:r w:rsidR="007B0F04" w:rsidRPr="007102CB">
        <w:rPr>
          <w:rFonts w:ascii="Times New Roman" w:hAnsi="Times New Roman" w:cs="Times New Roman"/>
        </w:rPr>
        <w:t xml:space="preserve">approach to making good quality recommendations discussed </w:t>
      </w:r>
      <w:r w:rsidR="003C6D64" w:rsidRPr="007102CB">
        <w:rPr>
          <w:rFonts w:ascii="Times New Roman" w:hAnsi="Times New Roman" w:cs="Times New Roman"/>
        </w:rPr>
        <w:t>earlier in this</w:t>
      </w:r>
      <w:r w:rsidR="0013318A" w:rsidRPr="007102CB">
        <w:rPr>
          <w:rFonts w:ascii="Times New Roman" w:hAnsi="Times New Roman" w:cs="Times New Roman"/>
        </w:rPr>
        <w:t xml:space="preserve"> </w:t>
      </w:r>
      <w:r w:rsidR="00732FBC" w:rsidRPr="007102CB">
        <w:rPr>
          <w:rFonts w:ascii="Times New Roman" w:hAnsi="Times New Roman" w:cs="Times New Roman"/>
        </w:rPr>
        <w:t>s</w:t>
      </w:r>
      <w:r w:rsidR="0013318A" w:rsidRPr="007102CB">
        <w:rPr>
          <w:rFonts w:ascii="Times New Roman" w:hAnsi="Times New Roman" w:cs="Times New Roman"/>
        </w:rPr>
        <w:t>ection</w:t>
      </w:r>
      <w:r w:rsidR="001965C1" w:rsidRPr="007102CB">
        <w:rPr>
          <w:rFonts w:ascii="Times New Roman" w:hAnsi="Times New Roman" w:cs="Times New Roman"/>
        </w:rPr>
        <w:t xml:space="preserve"> </w:t>
      </w:r>
      <w:r w:rsidR="0013318A" w:rsidRPr="007102CB">
        <w:rPr>
          <w:rFonts w:ascii="Times New Roman" w:hAnsi="Times New Roman" w:cs="Times New Roman"/>
        </w:rPr>
        <w:t>of th</w:t>
      </w:r>
      <w:r w:rsidR="003C6D64" w:rsidRPr="007102CB">
        <w:rPr>
          <w:rFonts w:ascii="Times New Roman" w:hAnsi="Times New Roman" w:cs="Times New Roman"/>
        </w:rPr>
        <w:t>e</w:t>
      </w:r>
      <w:r w:rsidR="0013318A" w:rsidRPr="007102CB">
        <w:rPr>
          <w:rFonts w:ascii="Times New Roman" w:hAnsi="Times New Roman" w:cs="Times New Roman"/>
        </w:rPr>
        <w:t xml:space="preserve"> paper. </w:t>
      </w:r>
      <w:r w:rsidR="00FF0102" w:rsidRPr="007102CB">
        <w:rPr>
          <w:rFonts w:ascii="Times New Roman" w:hAnsi="Times New Roman" w:cs="Times New Roman"/>
        </w:rPr>
        <w:t xml:space="preserve">Rank 5 recommendations are recommendations that tend to be specific, measurable, </w:t>
      </w:r>
      <w:r w:rsidR="00974721" w:rsidRPr="007102CB">
        <w:rPr>
          <w:rFonts w:ascii="Times New Roman" w:hAnsi="Times New Roman" w:cs="Times New Roman"/>
        </w:rPr>
        <w:t xml:space="preserve">and actionable. </w:t>
      </w:r>
      <w:r w:rsidR="008372A8" w:rsidRPr="007102CB">
        <w:rPr>
          <w:rFonts w:ascii="Times New Roman" w:hAnsi="Times New Roman" w:cs="Times New Roman"/>
        </w:rPr>
        <w:t>(ii) W</w:t>
      </w:r>
      <w:r w:rsidR="00974721" w:rsidRPr="007102CB">
        <w:rPr>
          <w:rFonts w:ascii="Times New Roman" w:hAnsi="Times New Roman" w:cs="Times New Roman"/>
        </w:rPr>
        <w:t>e recognise that recommendations which require general action (Rand 4) are not entirely worthless as they have at times translated to specific action at the implementation stage</w:t>
      </w:r>
      <w:r w:rsidR="008372A8" w:rsidRPr="007102CB">
        <w:rPr>
          <w:rFonts w:ascii="Times New Roman" w:hAnsi="Times New Roman" w:cs="Times New Roman"/>
        </w:rPr>
        <w:t>.</w:t>
      </w:r>
      <w:r w:rsidR="00940D69" w:rsidRPr="007102CB">
        <w:rPr>
          <w:rFonts w:ascii="Times New Roman" w:eastAsia="Times New Roman" w:hAnsi="Times New Roman" w:cs="Times New Roman"/>
          <w:noProof/>
          <w:sz w:val="24"/>
          <w:szCs w:val="24"/>
          <w:lang w:eastAsia="en-GB"/>
        </w:rPr>
        <w:t xml:space="preserve"> </w:t>
      </w:r>
    </w:p>
    <w:p w14:paraId="06C1D100" w14:textId="3B344736" w:rsidR="00022BB1" w:rsidRPr="007102CB" w:rsidRDefault="00DD5451" w:rsidP="00117667">
      <w:pPr>
        <w:pStyle w:val="Heading3"/>
        <w:rPr>
          <w:rFonts w:ascii="Times New Roman" w:hAnsi="Times New Roman" w:cs="Times New Roman"/>
          <w:noProof/>
          <w:color w:val="auto"/>
          <w:lang w:eastAsia="en-GB"/>
        </w:rPr>
      </w:pPr>
      <w:r w:rsidRPr="007102CB">
        <w:rPr>
          <w:rFonts w:ascii="Times New Roman" w:hAnsi="Times New Roman" w:cs="Times New Roman"/>
          <w:noProof/>
          <w:color w:val="auto"/>
          <w:lang w:eastAsia="en-GB"/>
        </w:rPr>
        <w:lastRenderedPageBreak/>
        <w:t>Figure</w:t>
      </w:r>
      <w:r w:rsidR="00844ACD" w:rsidRPr="007102CB">
        <w:rPr>
          <w:rFonts w:ascii="Times New Roman" w:hAnsi="Times New Roman" w:cs="Times New Roman"/>
          <w:noProof/>
          <w:color w:val="auto"/>
          <w:lang w:eastAsia="en-GB"/>
        </w:rPr>
        <w:t>s</w:t>
      </w:r>
      <w:r w:rsidRPr="007102CB">
        <w:rPr>
          <w:rFonts w:ascii="Times New Roman" w:hAnsi="Times New Roman" w:cs="Times New Roman"/>
          <w:noProof/>
          <w:color w:val="auto"/>
          <w:lang w:eastAsia="en-GB"/>
        </w:rPr>
        <w:t xml:space="preserve"> </w:t>
      </w:r>
      <w:r w:rsidR="008B3D54" w:rsidRPr="007102CB">
        <w:rPr>
          <w:rFonts w:ascii="Times New Roman" w:hAnsi="Times New Roman" w:cs="Times New Roman"/>
          <w:noProof/>
          <w:color w:val="auto"/>
          <w:lang w:eastAsia="en-GB"/>
        </w:rPr>
        <w:t>1</w:t>
      </w:r>
      <w:r w:rsidR="00ED618A" w:rsidRPr="007102CB">
        <w:rPr>
          <w:rFonts w:ascii="Times New Roman" w:hAnsi="Times New Roman" w:cs="Times New Roman"/>
          <w:noProof/>
          <w:color w:val="auto"/>
          <w:lang w:eastAsia="en-GB"/>
        </w:rPr>
        <w:t xml:space="preserve"> and 2</w:t>
      </w:r>
    </w:p>
    <w:p w14:paraId="4CE4C574" w14:textId="69DD5523" w:rsidR="00ED618A" w:rsidRPr="007102CB" w:rsidRDefault="00940D69" w:rsidP="00770443">
      <w:pPr>
        <w:spacing w:before="100" w:beforeAutospacing="1" w:after="100" w:afterAutospacing="1" w:line="276" w:lineRule="auto"/>
        <w:rPr>
          <w:rFonts w:ascii="Times New Roman" w:eastAsia="Times New Roman" w:hAnsi="Times New Roman" w:cs="Times New Roman"/>
          <w:sz w:val="24"/>
          <w:szCs w:val="24"/>
          <w:lang w:eastAsia="en-GB"/>
        </w:rPr>
      </w:pPr>
      <w:r w:rsidRPr="007102CB">
        <w:rPr>
          <w:rFonts w:ascii="Times New Roman" w:eastAsia="Times New Roman" w:hAnsi="Times New Roman" w:cs="Times New Roman"/>
          <w:noProof/>
          <w:sz w:val="24"/>
          <w:szCs w:val="24"/>
          <w:lang w:eastAsia="en-GB"/>
        </w:rPr>
        <w:drawing>
          <wp:inline distT="0" distB="0" distL="0" distR="0" wp14:anchorId="3B58DA99" wp14:editId="337C8B91">
            <wp:extent cx="2847975" cy="2571750"/>
            <wp:effectExtent l="0" t="0" r="9525" b="0"/>
            <wp:docPr id="902805088" name="Picture 9" descr="A graph with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54752" name="Picture 9" descr="A graph with different colored ba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975" cy="2571750"/>
                    </a:xfrm>
                    <a:prstGeom prst="rect">
                      <a:avLst/>
                    </a:prstGeom>
                    <a:noFill/>
                    <a:ln>
                      <a:noFill/>
                    </a:ln>
                  </pic:spPr>
                </pic:pic>
              </a:graphicData>
            </a:graphic>
          </wp:inline>
        </w:drawing>
      </w:r>
      <w:r w:rsidRPr="007102CB">
        <w:rPr>
          <w:rFonts w:ascii="Times New Roman" w:eastAsia="Times New Roman" w:hAnsi="Times New Roman" w:cs="Times New Roman"/>
          <w:sz w:val="24"/>
          <w:szCs w:val="24"/>
          <w:lang w:eastAsia="en-GB"/>
        </w:rPr>
        <w:t xml:space="preserve"> </w:t>
      </w:r>
      <w:r w:rsidRPr="007102CB">
        <w:rPr>
          <w:rFonts w:ascii="Times New Roman" w:eastAsia="Times New Roman" w:hAnsi="Times New Roman" w:cs="Times New Roman"/>
          <w:noProof/>
          <w:sz w:val="24"/>
          <w:szCs w:val="24"/>
          <w:lang w:eastAsia="en-GB"/>
        </w:rPr>
        <w:drawing>
          <wp:inline distT="0" distB="0" distL="0" distR="0" wp14:anchorId="1D06D545" wp14:editId="572C69DE">
            <wp:extent cx="2619375" cy="2578100"/>
            <wp:effectExtent l="0" t="0" r="9525" b="0"/>
            <wp:docPr id="908876062" name="Picture 11" descr="A graph of a number of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53898" name="Picture 11" descr="A graph of a number of different colored ba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2578100"/>
                    </a:xfrm>
                    <a:prstGeom prst="rect">
                      <a:avLst/>
                    </a:prstGeom>
                    <a:noFill/>
                    <a:ln>
                      <a:noFill/>
                    </a:ln>
                  </pic:spPr>
                </pic:pic>
              </a:graphicData>
            </a:graphic>
          </wp:inline>
        </w:drawing>
      </w:r>
    </w:p>
    <w:p w14:paraId="46D14D6A" w14:textId="58807903" w:rsidR="00CE675D" w:rsidRPr="007102CB" w:rsidRDefault="00D30030" w:rsidP="309CE6D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In the case of Kenya, both states and NGOs made specific recommendations (R5)</w:t>
      </w:r>
      <w:r w:rsidR="004A106D" w:rsidRPr="007102CB">
        <w:rPr>
          <w:rFonts w:ascii="Times New Roman" w:eastAsia="Times New Roman" w:hAnsi="Times New Roman" w:cs="Times New Roman"/>
          <w:sz w:val="24"/>
          <w:szCs w:val="24"/>
          <w:lang w:eastAsia="en-GB"/>
        </w:rPr>
        <w:t xml:space="preserve"> during the UPR 2 and 3. However, the proportion of specific recommendations made by NGOs (</w:t>
      </w:r>
      <w:r w:rsidR="003701E2" w:rsidRPr="007102CB">
        <w:rPr>
          <w:rFonts w:ascii="Times New Roman" w:eastAsia="Times New Roman" w:hAnsi="Times New Roman" w:cs="Times New Roman"/>
          <w:sz w:val="24"/>
          <w:szCs w:val="24"/>
          <w:lang w:eastAsia="en-GB"/>
        </w:rPr>
        <w:t>about 70% of the total UPR 3</w:t>
      </w:r>
      <w:r w:rsidR="00AF7735" w:rsidRPr="007102CB">
        <w:rPr>
          <w:rFonts w:ascii="Times New Roman" w:eastAsia="Times New Roman" w:hAnsi="Times New Roman" w:cs="Times New Roman"/>
          <w:sz w:val="24"/>
          <w:szCs w:val="24"/>
          <w:lang w:eastAsia="en-GB"/>
        </w:rPr>
        <w:t xml:space="preserve"> NGO</w:t>
      </w:r>
      <w:r w:rsidR="003701E2" w:rsidRPr="007102CB">
        <w:rPr>
          <w:rFonts w:ascii="Times New Roman" w:eastAsia="Times New Roman" w:hAnsi="Times New Roman" w:cs="Times New Roman"/>
          <w:sz w:val="24"/>
          <w:szCs w:val="24"/>
          <w:lang w:eastAsia="en-GB"/>
        </w:rPr>
        <w:t xml:space="preserve"> recommendations and </w:t>
      </w:r>
      <w:r w:rsidR="00092E87" w:rsidRPr="007102CB">
        <w:rPr>
          <w:rFonts w:ascii="Times New Roman" w:eastAsia="Times New Roman" w:hAnsi="Times New Roman" w:cs="Times New Roman"/>
          <w:sz w:val="24"/>
          <w:szCs w:val="24"/>
          <w:lang w:eastAsia="en-GB"/>
        </w:rPr>
        <w:t xml:space="preserve">52% for UPR 2) </w:t>
      </w:r>
      <w:r w:rsidR="004A106D" w:rsidRPr="007102CB">
        <w:rPr>
          <w:rFonts w:ascii="Times New Roman" w:eastAsia="Times New Roman" w:hAnsi="Times New Roman" w:cs="Times New Roman"/>
          <w:sz w:val="24"/>
          <w:szCs w:val="24"/>
          <w:lang w:eastAsia="en-GB"/>
        </w:rPr>
        <w:t>significantly outpaced those made by states</w:t>
      </w:r>
      <w:r w:rsidR="00092E87" w:rsidRPr="007102CB">
        <w:rPr>
          <w:rFonts w:ascii="Times New Roman" w:eastAsia="Times New Roman" w:hAnsi="Times New Roman" w:cs="Times New Roman"/>
          <w:sz w:val="24"/>
          <w:szCs w:val="24"/>
          <w:lang w:eastAsia="en-GB"/>
        </w:rPr>
        <w:t xml:space="preserve"> (about 40% </w:t>
      </w:r>
      <w:r w:rsidR="00AF7735" w:rsidRPr="007102CB">
        <w:rPr>
          <w:rFonts w:ascii="Times New Roman" w:eastAsia="Times New Roman" w:hAnsi="Times New Roman" w:cs="Times New Roman"/>
          <w:sz w:val="24"/>
          <w:szCs w:val="24"/>
          <w:lang w:eastAsia="en-GB"/>
        </w:rPr>
        <w:t xml:space="preserve">of the total UPR 3 state recommendations and 35%). </w:t>
      </w:r>
      <w:r w:rsidR="00F555CD" w:rsidRPr="007102CB">
        <w:rPr>
          <w:rFonts w:ascii="Times New Roman" w:eastAsia="Times New Roman" w:hAnsi="Times New Roman" w:cs="Times New Roman"/>
          <w:sz w:val="24"/>
          <w:szCs w:val="24"/>
          <w:lang w:eastAsia="en-GB"/>
        </w:rPr>
        <w:t xml:space="preserve">In each of the </w:t>
      </w:r>
      <w:r w:rsidR="00A83488" w:rsidRPr="007102CB">
        <w:rPr>
          <w:rFonts w:ascii="Times New Roman" w:eastAsia="Times New Roman" w:hAnsi="Times New Roman" w:cs="Times New Roman"/>
          <w:sz w:val="24"/>
          <w:szCs w:val="24"/>
          <w:lang w:eastAsia="en-GB"/>
        </w:rPr>
        <w:t>two</w:t>
      </w:r>
      <w:r w:rsidR="00F555CD" w:rsidRPr="007102CB">
        <w:rPr>
          <w:rFonts w:ascii="Times New Roman" w:eastAsia="Times New Roman" w:hAnsi="Times New Roman" w:cs="Times New Roman"/>
          <w:sz w:val="24"/>
          <w:szCs w:val="24"/>
          <w:lang w:eastAsia="en-GB"/>
        </w:rPr>
        <w:t xml:space="preserve"> UPR cycles, less than hal</w:t>
      </w:r>
      <w:r w:rsidR="00D0279A" w:rsidRPr="007102CB">
        <w:rPr>
          <w:rFonts w:ascii="Times New Roman" w:eastAsia="Times New Roman" w:hAnsi="Times New Roman" w:cs="Times New Roman"/>
          <w:sz w:val="24"/>
          <w:szCs w:val="24"/>
          <w:lang w:eastAsia="en-GB"/>
        </w:rPr>
        <w:t>f</w:t>
      </w:r>
      <w:r w:rsidR="00F555CD" w:rsidRPr="007102CB">
        <w:rPr>
          <w:rFonts w:ascii="Times New Roman" w:eastAsia="Times New Roman" w:hAnsi="Times New Roman" w:cs="Times New Roman"/>
          <w:sz w:val="24"/>
          <w:szCs w:val="24"/>
          <w:lang w:eastAsia="en-GB"/>
        </w:rPr>
        <w:t xml:space="preserve"> of state recommendations were specific compared to more </w:t>
      </w:r>
      <w:r w:rsidR="00D0279A" w:rsidRPr="007102CB">
        <w:rPr>
          <w:rFonts w:ascii="Times New Roman" w:eastAsia="Times New Roman" w:hAnsi="Times New Roman" w:cs="Times New Roman"/>
          <w:sz w:val="24"/>
          <w:szCs w:val="24"/>
          <w:lang w:eastAsia="en-GB"/>
        </w:rPr>
        <w:t xml:space="preserve">half of NGO recommendations. </w:t>
      </w:r>
      <w:r w:rsidR="00AB56ED" w:rsidRPr="007102CB">
        <w:rPr>
          <w:rFonts w:ascii="Times New Roman" w:eastAsia="Times New Roman" w:hAnsi="Times New Roman" w:cs="Times New Roman"/>
          <w:sz w:val="24"/>
          <w:szCs w:val="24"/>
          <w:lang w:eastAsia="en-GB"/>
        </w:rPr>
        <w:t xml:space="preserve">Our analysis also found </w:t>
      </w:r>
      <w:r w:rsidR="000E01E9" w:rsidRPr="007102CB">
        <w:rPr>
          <w:rFonts w:ascii="Times New Roman" w:eastAsia="Times New Roman" w:hAnsi="Times New Roman" w:cs="Times New Roman"/>
          <w:sz w:val="24"/>
          <w:szCs w:val="24"/>
          <w:lang w:eastAsia="en-GB"/>
        </w:rPr>
        <w:t xml:space="preserve">that NGOs did not make any recommendations </w:t>
      </w:r>
      <w:r w:rsidR="00D04BF2" w:rsidRPr="007102CB">
        <w:rPr>
          <w:rFonts w:ascii="Times New Roman" w:eastAsia="Times New Roman" w:hAnsi="Times New Roman" w:cs="Times New Roman"/>
          <w:sz w:val="24"/>
          <w:szCs w:val="24"/>
          <w:lang w:eastAsia="en-GB"/>
        </w:rPr>
        <w:t>calling the state to seek technical assistance</w:t>
      </w:r>
      <w:r w:rsidR="007D4F39" w:rsidRPr="007102CB">
        <w:rPr>
          <w:rFonts w:ascii="Times New Roman" w:eastAsia="Times New Roman" w:hAnsi="Times New Roman" w:cs="Times New Roman"/>
          <w:sz w:val="24"/>
          <w:szCs w:val="24"/>
          <w:lang w:eastAsia="en-GB"/>
        </w:rPr>
        <w:t xml:space="preserve"> </w:t>
      </w:r>
      <w:r w:rsidR="00D04BF2" w:rsidRPr="007102CB">
        <w:rPr>
          <w:rFonts w:ascii="Times New Roman" w:eastAsia="Times New Roman" w:hAnsi="Times New Roman" w:cs="Times New Roman"/>
          <w:sz w:val="24"/>
          <w:szCs w:val="24"/>
          <w:lang w:eastAsia="en-GB"/>
        </w:rPr>
        <w:t>(R</w:t>
      </w:r>
      <w:r w:rsidR="00B95C24" w:rsidRPr="007102CB">
        <w:rPr>
          <w:rFonts w:ascii="Times New Roman" w:eastAsia="Times New Roman" w:hAnsi="Times New Roman" w:cs="Times New Roman"/>
          <w:sz w:val="24"/>
          <w:szCs w:val="24"/>
          <w:lang w:eastAsia="en-GB"/>
        </w:rPr>
        <w:t xml:space="preserve">1) and barely made recommendations </w:t>
      </w:r>
      <w:r w:rsidR="00D657B9" w:rsidRPr="007102CB">
        <w:rPr>
          <w:rFonts w:ascii="Times New Roman" w:eastAsia="Times New Roman" w:hAnsi="Times New Roman" w:cs="Times New Roman"/>
          <w:sz w:val="24"/>
          <w:szCs w:val="24"/>
          <w:lang w:eastAsia="en-GB"/>
        </w:rPr>
        <w:t>for a state to ‘con</w:t>
      </w:r>
      <w:r w:rsidR="00987303" w:rsidRPr="007102CB">
        <w:rPr>
          <w:rFonts w:ascii="Times New Roman" w:eastAsia="Times New Roman" w:hAnsi="Times New Roman" w:cs="Times New Roman"/>
          <w:sz w:val="24"/>
          <w:szCs w:val="24"/>
          <w:lang w:eastAsia="en-GB"/>
        </w:rPr>
        <w:t>tinue</w:t>
      </w:r>
      <w:r w:rsidR="00D657B9" w:rsidRPr="007102CB">
        <w:rPr>
          <w:rFonts w:ascii="Times New Roman" w:eastAsia="Times New Roman" w:hAnsi="Times New Roman" w:cs="Times New Roman"/>
          <w:sz w:val="24"/>
          <w:szCs w:val="24"/>
          <w:lang w:eastAsia="en-GB"/>
        </w:rPr>
        <w:t xml:space="preserve"> an action’ (R</w:t>
      </w:r>
      <w:r w:rsidR="00194E7F" w:rsidRPr="007102CB">
        <w:rPr>
          <w:rFonts w:ascii="Times New Roman" w:eastAsia="Times New Roman" w:hAnsi="Times New Roman" w:cs="Times New Roman"/>
          <w:sz w:val="24"/>
          <w:szCs w:val="24"/>
          <w:lang w:eastAsia="en-GB"/>
        </w:rPr>
        <w:t>2) (</w:t>
      </w:r>
      <w:r w:rsidR="0081132E" w:rsidRPr="007102CB">
        <w:rPr>
          <w:rFonts w:ascii="Times New Roman" w:eastAsia="Times New Roman" w:hAnsi="Times New Roman" w:cs="Times New Roman"/>
          <w:sz w:val="24"/>
          <w:szCs w:val="24"/>
          <w:lang w:eastAsia="en-GB"/>
        </w:rPr>
        <w:t xml:space="preserve">only </w:t>
      </w:r>
      <w:r w:rsidR="005F5BED" w:rsidRPr="007102CB">
        <w:rPr>
          <w:rFonts w:ascii="Times New Roman" w:eastAsia="Times New Roman" w:hAnsi="Times New Roman" w:cs="Times New Roman"/>
          <w:sz w:val="24"/>
          <w:szCs w:val="24"/>
          <w:lang w:eastAsia="en-GB"/>
        </w:rPr>
        <w:t>one recommendation made)</w:t>
      </w:r>
      <w:r w:rsidR="00D657B9" w:rsidRPr="007102CB">
        <w:rPr>
          <w:rFonts w:ascii="Times New Roman" w:eastAsia="Times New Roman" w:hAnsi="Times New Roman" w:cs="Times New Roman"/>
          <w:sz w:val="24"/>
          <w:szCs w:val="24"/>
          <w:lang w:eastAsia="en-GB"/>
        </w:rPr>
        <w:t xml:space="preserve"> or </w:t>
      </w:r>
      <w:r w:rsidR="00194E7F" w:rsidRPr="007102CB">
        <w:rPr>
          <w:rFonts w:ascii="Times New Roman" w:eastAsia="Times New Roman" w:hAnsi="Times New Roman" w:cs="Times New Roman"/>
          <w:sz w:val="24"/>
          <w:szCs w:val="24"/>
          <w:lang w:eastAsia="en-GB"/>
        </w:rPr>
        <w:t>‘</w:t>
      </w:r>
      <w:r w:rsidR="00D657B9" w:rsidRPr="007102CB">
        <w:rPr>
          <w:rFonts w:ascii="Times New Roman" w:eastAsia="Times New Roman" w:hAnsi="Times New Roman" w:cs="Times New Roman"/>
          <w:sz w:val="24"/>
          <w:szCs w:val="24"/>
          <w:lang w:eastAsia="en-GB"/>
        </w:rPr>
        <w:t>con</w:t>
      </w:r>
      <w:r w:rsidR="00987303" w:rsidRPr="007102CB">
        <w:rPr>
          <w:rFonts w:ascii="Times New Roman" w:eastAsia="Times New Roman" w:hAnsi="Times New Roman" w:cs="Times New Roman"/>
          <w:sz w:val="24"/>
          <w:szCs w:val="24"/>
          <w:lang w:eastAsia="en-GB"/>
        </w:rPr>
        <w:t>sider</w:t>
      </w:r>
      <w:r w:rsidR="00D657B9" w:rsidRPr="007102CB">
        <w:rPr>
          <w:rFonts w:ascii="Times New Roman" w:eastAsia="Times New Roman" w:hAnsi="Times New Roman" w:cs="Times New Roman"/>
          <w:sz w:val="24"/>
          <w:szCs w:val="24"/>
          <w:lang w:eastAsia="en-GB"/>
        </w:rPr>
        <w:t xml:space="preserve"> </w:t>
      </w:r>
      <w:r w:rsidR="00194E7F" w:rsidRPr="007102CB">
        <w:rPr>
          <w:rFonts w:ascii="Times New Roman" w:eastAsia="Times New Roman" w:hAnsi="Times New Roman" w:cs="Times New Roman"/>
          <w:sz w:val="24"/>
          <w:szCs w:val="24"/>
          <w:lang w:eastAsia="en-GB"/>
        </w:rPr>
        <w:t>an action’ (R3)</w:t>
      </w:r>
      <w:r w:rsidR="009550EE" w:rsidRPr="007102CB">
        <w:rPr>
          <w:rFonts w:ascii="Times New Roman" w:eastAsia="Times New Roman" w:hAnsi="Times New Roman" w:cs="Times New Roman"/>
          <w:sz w:val="24"/>
          <w:szCs w:val="24"/>
          <w:lang w:eastAsia="en-GB"/>
        </w:rPr>
        <w:t xml:space="preserve"> (</w:t>
      </w:r>
      <w:r w:rsidR="00DA2487" w:rsidRPr="007102CB">
        <w:rPr>
          <w:rFonts w:ascii="Times New Roman" w:eastAsia="Times New Roman" w:hAnsi="Times New Roman" w:cs="Times New Roman"/>
          <w:sz w:val="24"/>
          <w:szCs w:val="24"/>
          <w:lang w:eastAsia="en-GB"/>
        </w:rPr>
        <w:t>no more than 2% of the recommendations in each cycle)</w:t>
      </w:r>
      <w:r w:rsidR="00194E7F" w:rsidRPr="007102CB">
        <w:rPr>
          <w:rFonts w:ascii="Times New Roman" w:eastAsia="Times New Roman" w:hAnsi="Times New Roman" w:cs="Times New Roman"/>
          <w:sz w:val="24"/>
          <w:szCs w:val="24"/>
          <w:lang w:eastAsia="en-GB"/>
        </w:rPr>
        <w:t xml:space="preserve">. </w:t>
      </w:r>
      <w:r w:rsidR="007D4F39" w:rsidRPr="007102CB">
        <w:rPr>
          <w:rFonts w:ascii="Times New Roman" w:eastAsia="Times New Roman" w:hAnsi="Times New Roman" w:cs="Times New Roman"/>
          <w:sz w:val="24"/>
          <w:szCs w:val="24"/>
          <w:lang w:eastAsia="en-GB"/>
        </w:rPr>
        <w:t xml:space="preserve">In contrast, </w:t>
      </w:r>
      <w:r w:rsidR="001D655B" w:rsidRPr="007102CB">
        <w:rPr>
          <w:rFonts w:ascii="Times New Roman" w:eastAsia="Times New Roman" w:hAnsi="Times New Roman" w:cs="Times New Roman"/>
          <w:sz w:val="24"/>
          <w:szCs w:val="24"/>
          <w:lang w:eastAsia="en-GB"/>
        </w:rPr>
        <w:t xml:space="preserve">over 20% of state recommendations </w:t>
      </w:r>
      <w:r w:rsidR="00F63920" w:rsidRPr="007102CB">
        <w:rPr>
          <w:rFonts w:ascii="Times New Roman" w:eastAsia="Times New Roman" w:hAnsi="Times New Roman" w:cs="Times New Roman"/>
          <w:sz w:val="24"/>
          <w:szCs w:val="24"/>
          <w:lang w:eastAsia="en-GB"/>
        </w:rPr>
        <w:t xml:space="preserve">to Kenya </w:t>
      </w:r>
      <w:r w:rsidR="00165FC7" w:rsidRPr="007102CB">
        <w:rPr>
          <w:rFonts w:ascii="Times New Roman" w:eastAsia="Times New Roman" w:hAnsi="Times New Roman" w:cs="Times New Roman"/>
          <w:sz w:val="24"/>
          <w:szCs w:val="24"/>
          <w:lang w:eastAsia="en-GB"/>
        </w:rPr>
        <w:t xml:space="preserve">each of the UPR cycles called for </w:t>
      </w:r>
      <w:r w:rsidR="002056CA" w:rsidRPr="007102CB">
        <w:rPr>
          <w:rFonts w:ascii="Times New Roman" w:eastAsia="Times New Roman" w:hAnsi="Times New Roman" w:cs="Times New Roman"/>
          <w:sz w:val="24"/>
          <w:szCs w:val="24"/>
          <w:lang w:eastAsia="en-GB"/>
        </w:rPr>
        <w:t xml:space="preserve">R2 action and over 5% called for R3 action. </w:t>
      </w:r>
      <w:r w:rsidR="00BE3EE3" w:rsidRPr="007102CB">
        <w:rPr>
          <w:rFonts w:ascii="Times New Roman" w:eastAsia="Times New Roman" w:hAnsi="Times New Roman" w:cs="Times New Roman"/>
          <w:sz w:val="24"/>
          <w:szCs w:val="24"/>
          <w:lang w:eastAsia="en-GB"/>
        </w:rPr>
        <w:t xml:space="preserve">A further analysis of the language of these recommendations </w:t>
      </w:r>
      <w:r w:rsidR="00F64403" w:rsidRPr="007102CB">
        <w:rPr>
          <w:rFonts w:ascii="Times New Roman" w:eastAsia="Times New Roman" w:hAnsi="Times New Roman" w:cs="Times New Roman"/>
          <w:sz w:val="24"/>
          <w:szCs w:val="24"/>
          <w:lang w:eastAsia="en-GB"/>
        </w:rPr>
        <w:t>revealed that state recommendations tended to be more diplomatic</w:t>
      </w:r>
      <w:r w:rsidR="00AC70C2" w:rsidRPr="007102CB">
        <w:rPr>
          <w:rFonts w:ascii="Times New Roman" w:eastAsia="Times New Roman" w:hAnsi="Times New Roman" w:cs="Times New Roman"/>
          <w:sz w:val="24"/>
          <w:szCs w:val="24"/>
          <w:lang w:eastAsia="en-GB"/>
        </w:rPr>
        <w:t xml:space="preserve"> and framed in generic terms. </w:t>
      </w:r>
      <w:r w:rsidR="00491951" w:rsidRPr="007102CB">
        <w:rPr>
          <w:rFonts w:ascii="Times New Roman" w:eastAsia="Times New Roman" w:hAnsi="Times New Roman" w:cs="Times New Roman"/>
          <w:sz w:val="24"/>
          <w:szCs w:val="24"/>
          <w:lang w:eastAsia="en-GB"/>
        </w:rPr>
        <w:t>For example</w:t>
      </w:r>
      <w:r w:rsidR="00B47658" w:rsidRPr="007102CB">
        <w:rPr>
          <w:rFonts w:ascii="Times New Roman" w:eastAsia="Times New Roman" w:hAnsi="Times New Roman" w:cs="Times New Roman"/>
          <w:sz w:val="24"/>
          <w:szCs w:val="24"/>
          <w:lang w:eastAsia="en-GB"/>
        </w:rPr>
        <w:t xml:space="preserve">, </w:t>
      </w:r>
      <w:r w:rsidR="005B4A5B" w:rsidRPr="007102CB">
        <w:rPr>
          <w:rFonts w:ascii="Times New Roman" w:eastAsia="Times New Roman" w:hAnsi="Times New Roman" w:cs="Times New Roman"/>
          <w:sz w:val="24"/>
          <w:szCs w:val="24"/>
          <w:lang w:eastAsia="en-GB"/>
        </w:rPr>
        <w:t>Ghan</w:t>
      </w:r>
      <w:r w:rsidR="006759D5" w:rsidRPr="007102CB">
        <w:rPr>
          <w:rFonts w:ascii="Times New Roman" w:eastAsia="Times New Roman" w:hAnsi="Times New Roman" w:cs="Times New Roman"/>
          <w:sz w:val="24"/>
          <w:szCs w:val="24"/>
          <w:lang w:eastAsia="en-GB"/>
        </w:rPr>
        <w:t>a’s recommendation that Kenya ‘[c]</w:t>
      </w:r>
      <w:proofErr w:type="spellStart"/>
      <w:r w:rsidR="006759D5" w:rsidRPr="007102CB">
        <w:rPr>
          <w:rFonts w:ascii="Times New Roman" w:eastAsia="Times New Roman" w:hAnsi="Times New Roman" w:cs="Times New Roman"/>
          <w:sz w:val="24"/>
          <w:szCs w:val="24"/>
          <w:lang w:eastAsia="en-GB"/>
        </w:rPr>
        <w:t>ontinue</w:t>
      </w:r>
      <w:proofErr w:type="spellEnd"/>
      <w:r w:rsidR="006759D5" w:rsidRPr="007102CB">
        <w:rPr>
          <w:rFonts w:ascii="Times New Roman" w:eastAsia="Times New Roman" w:hAnsi="Times New Roman" w:cs="Times New Roman"/>
          <w:sz w:val="24"/>
          <w:szCs w:val="24"/>
          <w:lang w:eastAsia="en-GB"/>
        </w:rPr>
        <w:t xml:space="preserve"> to respect, protect, promote and fulfil all the rights and fundamental freedoms as stipulated in the bill of </w:t>
      </w:r>
      <w:r w:rsidR="002A1B87" w:rsidRPr="007102CB">
        <w:rPr>
          <w:rFonts w:ascii="Times New Roman" w:eastAsia="Times New Roman" w:hAnsi="Times New Roman" w:cs="Times New Roman"/>
          <w:sz w:val="24"/>
          <w:szCs w:val="24"/>
          <w:lang w:eastAsia="en-GB"/>
        </w:rPr>
        <w:t>rights’</w:t>
      </w:r>
      <w:r w:rsidR="009C5E6E" w:rsidRPr="007102CB">
        <w:rPr>
          <w:rFonts w:ascii="Times New Roman" w:eastAsia="Times New Roman" w:hAnsi="Times New Roman" w:cs="Times New Roman"/>
          <w:sz w:val="24"/>
          <w:szCs w:val="24"/>
          <w:lang w:eastAsia="en-GB"/>
        </w:rPr>
        <w:t xml:space="preserve"> </w:t>
      </w:r>
      <w:r w:rsidR="009638BA" w:rsidRPr="007102CB">
        <w:rPr>
          <w:rFonts w:ascii="Times New Roman" w:eastAsia="Times New Roman" w:hAnsi="Times New Roman" w:cs="Times New Roman"/>
          <w:sz w:val="24"/>
          <w:szCs w:val="24"/>
          <w:lang w:eastAsia="en-GB"/>
        </w:rPr>
        <w:t>and Rwanda’s recommendation that Kenya ‘consider further limitations on the use of the death penalty with a view to imposing a de facto moratorium on its use and aiming at its total abolition</w:t>
      </w:r>
      <w:r w:rsidR="00283819" w:rsidRPr="007102CB">
        <w:rPr>
          <w:rFonts w:ascii="Times New Roman" w:eastAsia="Times New Roman" w:hAnsi="Times New Roman" w:cs="Times New Roman"/>
          <w:sz w:val="24"/>
          <w:szCs w:val="24"/>
          <w:lang w:eastAsia="en-GB"/>
        </w:rPr>
        <w:t xml:space="preserve">’. In contrast, NGOs were </w:t>
      </w:r>
      <w:r w:rsidR="00C50263" w:rsidRPr="007102CB">
        <w:rPr>
          <w:rFonts w:ascii="Times New Roman" w:eastAsia="Times New Roman" w:hAnsi="Times New Roman" w:cs="Times New Roman"/>
          <w:sz w:val="24"/>
          <w:szCs w:val="24"/>
          <w:lang w:eastAsia="en-GB"/>
        </w:rPr>
        <w:t>often more pointed and specific. For example</w:t>
      </w:r>
      <w:r w:rsidR="0071333A" w:rsidRPr="007102CB">
        <w:rPr>
          <w:rFonts w:ascii="Times New Roman" w:eastAsia="Times New Roman" w:hAnsi="Times New Roman" w:cs="Times New Roman"/>
          <w:sz w:val="24"/>
          <w:szCs w:val="24"/>
          <w:lang w:eastAsia="en-GB"/>
        </w:rPr>
        <w:t>,</w:t>
      </w:r>
      <w:r w:rsidR="00C50263" w:rsidRPr="007102CB">
        <w:rPr>
          <w:rFonts w:ascii="Times New Roman" w:eastAsia="Times New Roman" w:hAnsi="Times New Roman" w:cs="Times New Roman"/>
          <w:sz w:val="24"/>
          <w:szCs w:val="24"/>
          <w:lang w:eastAsia="en-GB"/>
        </w:rPr>
        <w:t xml:space="preserve"> </w:t>
      </w:r>
      <w:r w:rsidR="69FFF72B" w:rsidRPr="007102CB">
        <w:rPr>
          <w:rFonts w:ascii="Times New Roman" w:eastAsia="Times New Roman" w:hAnsi="Times New Roman" w:cs="Times New Roman"/>
          <w:sz w:val="24"/>
          <w:szCs w:val="24"/>
          <w:lang w:eastAsia="en-GB"/>
        </w:rPr>
        <w:t>Independent Medico-Legal Unit (IMLU)</w:t>
      </w:r>
      <w:r w:rsidR="00C50263" w:rsidRPr="007102CB">
        <w:rPr>
          <w:rFonts w:ascii="Times New Roman" w:eastAsia="Times New Roman" w:hAnsi="Times New Roman" w:cs="Times New Roman"/>
          <w:sz w:val="24"/>
          <w:szCs w:val="24"/>
          <w:lang w:eastAsia="en-GB"/>
        </w:rPr>
        <w:t xml:space="preserve"> recommended that </w:t>
      </w:r>
      <w:r w:rsidR="000264EE" w:rsidRPr="007102CB">
        <w:rPr>
          <w:rFonts w:ascii="Times New Roman" w:eastAsia="Times New Roman" w:hAnsi="Times New Roman" w:cs="Times New Roman"/>
          <w:sz w:val="24"/>
          <w:szCs w:val="24"/>
          <w:lang w:eastAsia="en-GB"/>
        </w:rPr>
        <w:t>‘P</w:t>
      </w:r>
      <w:r w:rsidR="000D6C01" w:rsidRPr="007102CB">
        <w:rPr>
          <w:rFonts w:ascii="Times New Roman" w:eastAsia="Times New Roman" w:hAnsi="Times New Roman" w:cs="Times New Roman"/>
          <w:sz w:val="24"/>
          <w:szCs w:val="24"/>
          <w:lang w:eastAsia="en-GB"/>
        </w:rPr>
        <w:t>arliament should amend all laws that currently permit the death penalty. These are Sections 204, 60, 40(3), 296(2) and 297(2) of the Penal Code, CAP 63 Laws of Kenya, the Criminal Procedure Code, CAP 75 Laws of Kenya, and other statutory provisions linked to the death penalty</w:t>
      </w:r>
      <w:r w:rsidR="000264EE" w:rsidRPr="007102CB">
        <w:rPr>
          <w:rFonts w:ascii="Times New Roman" w:eastAsia="Times New Roman" w:hAnsi="Times New Roman" w:cs="Times New Roman"/>
          <w:sz w:val="24"/>
          <w:szCs w:val="24"/>
          <w:lang w:eastAsia="en-GB"/>
        </w:rPr>
        <w:t>’</w:t>
      </w:r>
      <w:r w:rsidR="000D6C01" w:rsidRPr="007102CB">
        <w:rPr>
          <w:rFonts w:ascii="Times New Roman" w:eastAsia="Times New Roman" w:hAnsi="Times New Roman" w:cs="Times New Roman"/>
          <w:sz w:val="24"/>
          <w:szCs w:val="24"/>
          <w:lang w:eastAsia="en-GB"/>
        </w:rPr>
        <w:t>.</w:t>
      </w:r>
      <w:r w:rsidR="000264EE" w:rsidRPr="007102CB">
        <w:rPr>
          <w:rFonts w:ascii="Times New Roman" w:eastAsia="Times New Roman" w:hAnsi="Times New Roman" w:cs="Times New Roman"/>
          <w:sz w:val="24"/>
          <w:szCs w:val="24"/>
          <w:lang w:eastAsia="en-GB"/>
        </w:rPr>
        <w:t xml:space="preserve"> </w:t>
      </w:r>
      <w:r w:rsidR="500354B6" w:rsidRPr="007102CB">
        <w:rPr>
          <w:rFonts w:ascii="Times New Roman" w:eastAsia="Times New Roman" w:hAnsi="Times New Roman" w:cs="Times New Roman"/>
          <w:sz w:val="24"/>
          <w:szCs w:val="24"/>
          <w:lang w:eastAsia="en-GB"/>
        </w:rPr>
        <w:t>The Lutheran World Federation (LWF), Refugee Consortium of Kenya and International Rescue Committee and KADANA UPR Refugees Network, Kenya</w:t>
      </w:r>
      <w:r w:rsidR="006F11A6" w:rsidRPr="007102CB">
        <w:rPr>
          <w:rFonts w:ascii="Times New Roman" w:eastAsia="Times New Roman" w:hAnsi="Times New Roman" w:cs="Times New Roman"/>
          <w:sz w:val="24"/>
          <w:szCs w:val="24"/>
          <w:lang w:eastAsia="en-GB"/>
        </w:rPr>
        <w:t xml:space="preserve"> recommended </w:t>
      </w:r>
      <w:r w:rsidR="00EB795F" w:rsidRPr="007102CB">
        <w:rPr>
          <w:rFonts w:ascii="Times New Roman" w:eastAsia="Times New Roman" w:hAnsi="Times New Roman" w:cs="Times New Roman"/>
          <w:sz w:val="24"/>
          <w:szCs w:val="24"/>
          <w:lang w:eastAsia="en-GB"/>
        </w:rPr>
        <w:t>the government of Kenya ‘[</w:t>
      </w:r>
      <w:proofErr w:type="spellStart"/>
      <w:r w:rsidR="00EB795F" w:rsidRPr="007102CB">
        <w:rPr>
          <w:rFonts w:ascii="Times New Roman" w:eastAsia="Times New Roman" w:hAnsi="Times New Roman" w:cs="Times New Roman"/>
          <w:sz w:val="24"/>
          <w:szCs w:val="24"/>
          <w:lang w:eastAsia="en-GB"/>
        </w:rPr>
        <w:t>i</w:t>
      </w:r>
      <w:proofErr w:type="spellEnd"/>
      <w:r w:rsidR="00EB795F" w:rsidRPr="007102CB">
        <w:rPr>
          <w:rFonts w:ascii="Times New Roman" w:eastAsia="Times New Roman" w:hAnsi="Times New Roman" w:cs="Times New Roman"/>
          <w:sz w:val="24"/>
          <w:szCs w:val="24"/>
          <w:lang w:eastAsia="en-GB"/>
        </w:rPr>
        <w:t>]</w:t>
      </w:r>
      <w:proofErr w:type="spellStart"/>
      <w:r w:rsidR="00EB795F" w:rsidRPr="007102CB">
        <w:rPr>
          <w:rFonts w:ascii="Times New Roman" w:eastAsia="Times New Roman" w:hAnsi="Times New Roman" w:cs="Times New Roman"/>
          <w:sz w:val="24"/>
          <w:szCs w:val="24"/>
          <w:lang w:eastAsia="en-GB"/>
        </w:rPr>
        <w:t>mmediately</w:t>
      </w:r>
      <w:proofErr w:type="spellEnd"/>
      <w:r w:rsidR="00EB795F" w:rsidRPr="007102CB">
        <w:rPr>
          <w:rFonts w:ascii="Times New Roman" w:eastAsia="Times New Roman" w:hAnsi="Times New Roman" w:cs="Times New Roman"/>
          <w:sz w:val="24"/>
          <w:szCs w:val="24"/>
          <w:lang w:eastAsia="en-GB"/>
        </w:rPr>
        <w:t xml:space="preserve"> put in place a refugee policy with guidelines on integration of refugees in Kenya as articulated in the Bill of Rights of the Constitution of Kenya’</w:t>
      </w:r>
      <w:r w:rsidR="00DD362B" w:rsidRPr="007102CB">
        <w:rPr>
          <w:rFonts w:ascii="Times New Roman" w:eastAsia="Times New Roman" w:hAnsi="Times New Roman" w:cs="Times New Roman"/>
          <w:sz w:val="24"/>
          <w:szCs w:val="24"/>
          <w:lang w:eastAsia="en-GB"/>
        </w:rPr>
        <w:t xml:space="preserve">. </w:t>
      </w:r>
      <w:r w:rsidR="00B7714A" w:rsidRPr="007102CB">
        <w:rPr>
          <w:rFonts w:ascii="Times New Roman" w:eastAsia="Times New Roman" w:hAnsi="Times New Roman" w:cs="Times New Roman"/>
          <w:sz w:val="24"/>
          <w:szCs w:val="24"/>
          <w:lang w:eastAsia="en-GB"/>
        </w:rPr>
        <w:t xml:space="preserve">This reinforces the point we made earlier that state-state recommendations </w:t>
      </w:r>
      <w:r w:rsidR="00B80A56" w:rsidRPr="007102CB">
        <w:rPr>
          <w:rFonts w:ascii="Times New Roman" w:eastAsia="Times New Roman" w:hAnsi="Times New Roman" w:cs="Times New Roman"/>
          <w:sz w:val="24"/>
          <w:szCs w:val="24"/>
          <w:lang w:eastAsia="en-GB"/>
        </w:rPr>
        <w:t xml:space="preserve">are </w:t>
      </w:r>
      <w:r w:rsidR="00B7714A" w:rsidRPr="007102CB">
        <w:rPr>
          <w:rFonts w:ascii="Times New Roman" w:eastAsia="Times New Roman" w:hAnsi="Times New Roman" w:cs="Times New Roman"/>
          <w:sz w:val="24"/>
          <w:szCs w:val="24"/>
          <w:lang w:eastAsia="en-GB"/>
        </w:rPr>
        <w:t xml:space="preserve">often </w:t>
      </w:r>
      <w:r w:rsidR="00DD362B" w:rsidRPr="007102CB">
        <w:rPr>
          <w:rFonts w:ascii="Times New Roman" w:eastAsia="Times New Roman" w:hAnsi="Times New Roman" w:cs="Times New Roman"/>
          <w:sz w:val="24"/>
          <w:szCs w:val="24"/>
          <w:lang w:eastAsia="en-GB"/>
        </w:rPr>
        <w:t xml:space="preserve">worded to </w:t>
      </w:r>
      <w:r w:rsidR="00B7714A" w:rsidRPr="007102CB">
        <w:rPr>
          <w:rFonts w:ascii="Times New Roman" w:eastAsia="Times New Roman" w:hAnsi="Times New Roman" w:cs="Times New Roman"/>
          <w:sz w:val="24"/>
          <w:szCs w:val="24"/>
          <w:lang w:eastAsia="en-GB"/>
        </w:rPr>
        <w:t>reflect diplomatic considerations, bilateral relations, and geopolitical interests</w:t>
      </w:r>
      <w:r w:rsidR="00CA72D4" w:rsidRPr="007102CB">
        <w:rPr>
          <w:rFonts w:ascii="Times New Roman" w:eastAsia="Times New Roman" w:hAnsi="Times New Roman" w:cs="Times New Roman"/>
          <w:sz w:val="24"/>
          <w:szCs w:val="24"/>
          <w:lang w:eastAsia="en-GB"/>
        </w:rPr>
        <w:t xml:space="preserve"> whereas NGO, being </w:t>
      </w:r>
      <w:r w:rsidR="00AF330E" w:rsidRPr="007102CB">
        <w:rPr>
          <w:rFonts w:ascii="Times New Roman" w:eastAsia="Times New Roman" w:hAnsi="Times New Roman" w:cs="Times New Roman"/>
          <w:sz w:val="24"/>
          <w:szCs w:val="24"/>
          <w:lang w:eastAsia="en-GB"/>
        </w:rPr>
        <w:t>less burdened by diplomatic</w:t>
      </w:r>
      <w:r w:rsidR="00CA72D4" w:rsidRPr="007102CB">
        <w:rPr>
          <w:rFonts w:ascii="Times New Roman" w:eastAsia="Times New Roman" w:hAnsi="Times New Roman" w:cs="Times New Roman"/>
          <w:sz w:val="24"/>
          <w:szCs w:val="24"/>
          <w:lang w:eastAsia="en-GB"/>
        </w:rPr>
        <w:t xml:space="preserve"> constraints, can be more forthright in their critiques and </w:t>
      </w:r>
      <w:r w:rsidR="00AF330E" w:rsidRPr="007102CB">
        <w:rPr>
          <w:rFonts w:ascii="Times New Roman" w:eastAsia="Times New Roman" w:hAnsi="Times New Roman" w:cs="Times New Roman"/>
          <w:sz w:val="24"/>
          <w:szCs w:val="24"/>
          <w:lang w:eastAsia="en-GB"/>
        </w:rPr>
        <w:t>suggestions.</w:t>
      </w:r>
    </w:p>
    <w:p w14:paraId="497EC193" w14:textId="0E6A1AF0" w:rsidR="00CE675D" w:rsidRPr="007102CB" w:rsidRDefault="002A3CD6" w:rsidP="00844ACD">
      <w:pPr>
        <w:pStyle w:val="Heading3"/>
        <w:rPr>
          <w:rFonts w:ascii="Times New Roman" w:hAnsi="Times New Roman" w:cs="Times New Roman"/>
          <w:color w:val="auto"/>
          <w:lang w:eastAsia="en-GB"/>
        </w:rPr>
      </w:pPr>
      <w:r>
        <w:rPr>
          <w:rFonts w:ascii="Times New Roman" w:hAnsi="Times New Roman" w:cs="Times New Roman"/>
          <w:color w:val="auto"/>
          <w:lang w:eastAsia="en-GB"/>
        </w:rPr>
        <w:lastRenderedPageBreak/>
        <w:t>Inse</w:t>
      </w:r>
      <w:r w:rsidR="009C140A">
        <w:rPr>
          <w:rFonts w:ascii="Times New Roman" w:hAnsi="Times New Roman" w:cs="Times New Roman"/>
          <w:color w:val="auto"/>
          <w:lang w:eastAsia="en-GB"/>
        </w:rPr>
        <w:t xml:space="preserve">rt </w:t>
      </w:r>
      <w:r w:rsidR="006D65A4" w:rsidRPr="007102CB">
        <w:rPr>
          <w:rFonts w:ascii="Times New Roman" w:hAnsi="Times New Roman" w:cs="Times New Roman"/>
          <w:color w:val="auto"/>
          <w:lang w:eastAsia="en-GB"/>
        </w:rPr>
        <w:t>Figure</w:t>
      </w:r>
      <w:r w:rsidR="00844ACD" w:rsidRPr="007102CB">
        <w:rPr>
          <w:rFonts w:ascii="Times New Roman" w:hAnsi="Times New Roman" w:cs="Times New Roman"/>
          <w:color w:val="auto"/>
          <w:lang w:eastAsia="en-GB"/>
        </w:rPr>
        <w:t>s</w:t>
      </w:r>
      <w:r w:rsidR="006D65A4" w:rsidRPr="007102CB">
        <w:rPr>
          <w:rFonts w:ascii="Times New Roman" w:hAnsi="Times New Roman" w:cs="Times New Roman"/>
          <w:color w:val="auto"/>
          <w:lang w:eastAsia="en-GB"/>
        </w:rPr>
        <w:t xml:space="preserve"> 3, 4 and 5</w:t>
      </w:r>
    </w:p>
    <w:p w14:paraId="284874E5" w14:textId="5E8CD8D5" w:rsidR="00B41FF1" w:rsidRPr="007102CB" w:rsidRDefault="005B66B5"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noProof/>
          <w:sz w:val="24"/>
          <w:szCs w:val="24"/>
          <w:lang w:eastAsia="en-GB"/>
        </w:rPr>
        <w:drawing>
          <wp:inline distT="0" distB="0" distL="0" distR="0" wp14:anchorId="6D04C60E" wp14:editId="5BD7AD06">
            <wp:extent cx="2800350" cy="2971800"/>
            <wp:effectExtent l="0" t="0" r="0" b="0"/>
            <wp:docPr id="1929505612" name="Picture 13"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50362" name="Picture 13" descr="A graph of a bar char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350" cy="2971800"/>
                    </a:xfrm>
                    <a:prstGeom prst="rect">
                      <a:avLst/>
                    </a:prstGeom>
                    <a:noFill/>
                    <a:ln>
                      <a:noFill/>
                    </a:ln>
                  </pic:spPr>
                </pic:pic>
              </a:graphicData>
            </a:graphic>
          </wp:inline>
        </w:drawing>
      </w:r>
      <w:r w:rsidRPr="007102CB">
        <w:rPr>
          <w:rFonts w:ascii="Times New Roman" w:eastAsia="Times New Roman" w:hAnsi="Times New Roman" w:cs="Times New Roman"/>
          <w:noProof/>
          <w:sz w:val="24"/>
          <w:szCs w:val="24"/>
          <w:lang w:eastAsia="en-GB"/>
        </w:rPr>
        <w:drawing>
          <wp:inline distT="0" distB="0" distL="0" distR="0" wp14:anchorId="74CEA857" wp14:editId="29B68B6D">
            <wp:extent cx="2667000" cy="2971800"/>
            <wp:effectExtent l="0" t="0" r="0" b="0"/>
            <wp:docPr id="1052389743" name="Picture 15" descr="A graph with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39103" name="Picture 15" descr="A graph with different colored ba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2971800"/>
                    </a:xfrm>
                    <a:prstGeom prst="rect">
                      <a:avLst/>
                    </a:prstGeom>
                    <a:noFill/>
                    <a:ln>
                      <a:noFill/>
                    </a:ln>
                  </pic:spPr>
                </pic:pic>
              </a:graphicData>
            </a:graphic>
          </wp:inline>
        </w:drawing>
      </w:r>
    </w:p>
    <w:p w14:paraId="663F79F4" w14:textId="009FBB03" w:rsidR="00CA2A89" w:rsidRPr="007102CB" w:rsidRDefault="00CA2A89"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 xml:space="preserve">           </w:t>
      </w:r>
      <w:r w:rsidR="007C4F00" w:rsidRPr="007102CB">
        <w:rPr>
          <w:rFonts w:ascii="Times New Roman" w:eastAsia="Times New Roman" w:hAnsi="Times New Roman" w:cs="Times New Roman"/>
          <w:noProof/>
          <w:sz w:val="24"/>
          <w:szCs w:val="24"/>
          <w:lang w:eastAsia="en-GB"/>
        </w:rPr>
        <w:drawing>
          <wp:inline distT="0" distB="0" distL="0" distR="0" wp14:anchorId="0E7B67B1" wp14:editId="148372F6">
            <wp:extent cx="4591050" cy="2543175"/>
            <wp:effectExtent l="0" t="0" r="0" b="9525"/>
            <wp:docPr id="2063733983" name="Picture 1" descr="A graph of a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33983" name="Picture 1" descr="A graph of a bar ch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1050" cy="2543175"/>
                    </a:xfrm>
                    <a:prstGeom prst="rect">
                      <a:avLst/>
                    </a:prstGeom>
                    <a:noFill/>
                    <a:ln>
                      <a:noFill/>
                    </a:ln>
                  </pic:spPr>
                </pic:pic>
              </a:graphicData>
            </a:graphic>
          </wp:inline>
        </w:drawing>
      </w:r>
    </w:p>
    <w:p w14:paraId="61F51A4B" w14:textId="77777777" w:rsidR="00A65E47" w:rsidRPr="007102CB" w:rsidRDefault="00CE27D1"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 xml:space="preserve">In the case of </w:t>
      </w:r>
      <w:r w:rsidR="00D85419" w:rsidRPr="007102CB">
        <w:rPr>
          <w:rFonts w:ascii="Times New Roman" w:eastAsia="Times New Roman" w:hAnsi="Times New Roman" w:cs="Times New Roman"/>
          <w:sz w:val="24"/>
          <w:szCs w:val="24"/>
          <w:lang w:eastAsia="en-GB"/>
        </w:rPr>
        <w:t>Zambia</w:t>
      </w:r>
      <w:r w:rsidRPr="007102CB">
        <w:rPr>
          <w:rFonts w:ascii="Times New Roman" w:eastAsia="Times New Roman" w:hAnsi="Times New Roman" w:cs="Times New Roman"/>
          <w:sz w:val="24"/>
          <w:szCs w:val="24"/>
          <w:lang w:eastAsia="en-GB"/>
        </w:rPr>
        <w:t xml:space="preserve">, </w:t>
      </w:r>
      <w:r w:rsidR="00DA1BE2" w:rsidRPr="007102CB">
        <w:rPr>
          <w:rFonts w:ascii="Times New Roman" w:eastAsia="Times New Roman" w:hAnsi="Times New Roman" w:cs="Times New Roman"/>
          <w:sz w:val="24"/>
          <w:szCs w:val="24"/>
          <w:lang w:eastAsia="en-GB"/>
        </w:rPr>
        <w:t xml:space="preserve">the data indicated that </w:t>
      </w:r>
      <w:r w:rsidR="00A11A37" w:rsidRPr="007102CB">
        <w:rPr>
          <w:rFonts w:ascii="Times New Roman" w:eastAsia="Times New Roman" w:hAnsi="Times New Roman" w:cs="Times New Roman"/>
          <w:sz w:val="24"/>
          <w:szCs w:val="24"/>
          <w:lang w:eastAsia="en-GB"/>
        </w:rPr>
        <w:t xml:space="preserve">the quality of NGO recommendations </w:t>
      </w:r>
      <w:r w:rsidR="00D85419" w:rsidRPr="007102CB">
        <w:rPr>
          <w:rFonts w:ascii="Times New Roman" w:eastAsia="Times New Roman" w:hAnsi="Times New Roman" w:cs="Times New Roman"/>
          <w:sz w:val="24"/>
          <w:szCs w:val="24"/>
          <w:lang w:eastAsia="en-GB"/>
        </w:rPr>
        <w:t xml:space="preserve">were not as strong </w:t>
      </w:r>
      <w:r w:rsidR="00CA2A89" w:rsidRPr="007102CB">
        <w:rPr>
          <w:rFonts w:ascii="Times New Roman" w:eastAsia="Times New Roman" w:hAnsi="Times New Roman" w:cs="Times New Roman"/>
          <w:sz w:val="24"/>
          <w:szCs w:val="24"/>
          <w:lang w:eastAsia="en-GB"/>
        </w:rPr>
        <w:t>compared to</w:t>
      </w:r>
      <w:r w:rsidR="008475F3" w:rsidRPr="007102CB">
        <w:rPr>
          <w:rFonts w:ascii="Times New Roman" w:eastAsia="Times New Roman" w:hAnsi="Times New Roman" w:cs="Times New Roman"/>
          <w:sz w:val="24"/>
          <w:szCs w:val="24"/>
          <w:lang w:eastAsia="en-GB"/>
        </w:rPr>
        <w:t xml:space="preserve"> Kenya, although there was an evolution towards greater specificity </w:t>
      </w:r>
      <w:r w:rsidR="00842F0D" w:rsidRPr="007102CB">
        <w:rPr>
          <w:rFonts w:ascii="Times New Roman" w:eastAsia="Times New Roman" w:hAnsi="Times New Roman" w:cs="Times New Roman"/>
          <w:sz w:val="24"/>
          <w:szCs w:val="24"/>
          <w:lang w:eastAsia="en-GB"/>
        </w:rPr>
        <w:t xml:space="preserve">across the three UPR cycles. </w:t>
      </w:r>
      <w:r w:rsidR="00075779" w:rsidRPr="007102CB">
        <w:rPr>
          <w:rFonts w:ascii="Times New Roman" w:eastAsia="Times New Roman" w:hAnsi="Times New Roman" w:cs="Times New Roman"/>
          <w:sz w:val="24"/>
          <w:szCs w:val="24"/>
          <w:lang w:eastAsia="en-GB"/>
        </w:rPr>
        <w:t xml:space="preserve">Less than 50% of </w:t>
      </w:r>
      <w:r w:rsidR="00D87BF9" w:rsidRPr="007102CB">
        <w:rPr>
          <w:rFonts w:ascii="Times New Roman" w:eastAsia="Times New Roman" w:hAnsi="Times New Roman" w:cs="Times New Roman"/>
          <w:sz w:val="24"/>
          <w:szCs w:val="24"/>
          <w:lang w:eastAsia="en-GB"/>
        </w:rPr>
        <w:t xml:space="preserve">the total </w:t>
      </w:r>
      <w:r w:rsidR="00075779" w:rsidRPr="007102CB">
        <w:rPr>
          <w:rFonts w:ascii="Times New Roman" w:eastAsia="Times New Roman" w:hAnsi="Times New Roman" w:cs="Times New Roman"/>
          <w:sz w:val="24"/>
          <w:szCs w:val="24"/>
          <w:lang w:eastAsia="en-GB"/>
        </w:rPr>
        <w:t xml:space="preserve">NGO recommendations were specific </w:t>
      </w:r>
      <w:r w:rsidR="00EC3487" w:rsidRPr="007102CB">
        <w:rPr>
          <w:rFonts w:ascii="Times New Roman" w:eastAsia="Times New Roman" w:hAnsi="Times New Roman" w:cs="Times New Roman"/>
          <w:sz w:val="24"/>
          <w:szCs w:val="24"/>
          <w:lang w:eastAsia="en-GB"/>
        </w:rPr>
        <w:t>in each of the three cycles we examined</w:t>
      </w:r>
      <w:r w:rsidR="003F28FA" w:rsidRPr="007102CB">
        <w:rPr>
          <w:rFonts w:ascii="Times New Roman" w:eastAsia="Times New Roman" w:hAnsi="Times New Roman" w:cs="Times New Roman"/>
          <w:sz w:val="24"/>
          <w:szCs w:val="24"/>
          <w:lang w:eastAsia="en-GB"/>
        </w:rPr>
        <w:t>. The majo</w:t>
      </w:r>
      <w:r w:rsidR="004B25B5" w:rsidRPr="007102CB">
        <w:rPr>
          <w:rFonts w:ascii="Times New Roman" w:eastAsia="Times New Roman" w:hAnsi="Times New Roman" w:cs="Times New Roman"/>
          <w:sz w:val="24"/>
          <w:szCs w:val="24"/>
          <w:lang w:eastAsia="en-GB"/>
        </w:rPr>
        <w:t>rity of recommendations in both cycle 2 and 4 were general recommendations (R4)</w:t>
      </w:r>
      <w:r w:rsidR="002F1824" w:rsidRPr="007102CB">
        <w:rPr>
          <w:rFonts w:ascii="Times New Roman" w:eastAsia="Times New Roman" w:hAnsi="Times New Roman" w:cs="Times New Roman"/>
          <w:sz w:val="24"/>
          <w:szCs w:val="24"/>
          <w:lang w:eastAsia="en-GB"/>
        </w:rPr>
        <w:t xml:space="preserve"> </w:t>
      </w:r>
      <w:r w:rsidR="00510D92" w:rsidRPr="007102CB">
        <w:rPr>
          <w:rFonts w:ascii="Times New Roman" w:eastAsia="Times New Roman" w:hAnsi="Times New Roman" w:cs="Times New Roman"/>
          <w:sz w:val="24"/>
          <w:szCs w:val="24"/>
          <w:lang w:eastAsia="en-GB"/>
        </w:rPr>
        <w:t>Our</w:t>
      </w:r>
      <w:r w:rsidR="002F1824" w:rsidRPr="007102CB">
        <w:rPr>
          <w:rFonts w:ascii="Times New Roman" w:eastAsia="Times New Roman" w:hAnsi="Times New Roman" w:cs="Times New Roman"/>
          <w:sz w:val="24"/>
          <w:szCs w:val="24"/>
          <w:lang w:eastAsia="en-GB"/>
        </w:rPr>
        <w:t xml:space="preserve"> analysis of the quality of recommendations made within the most prominent them</w:t>
      </w:r>
      <w:r w:rsidR="00870F56" w:rsidRPr="007102CB">
        <w:rPr>
          <w:rFonts w:ascii="Times New Roman" w:eastAsia="Times New Roman" w:hAnsi="Times New Roman" w:cs="Times New Roman"/>
          <w:sz w:val="24"/>
          <w:szCs w:val="24"/>
          <w:lang w:eastAsia="en-GB"/>
        </w:rPr>
        <w:t>atic issues for each c</w:t>
      </w:r>
      <w:r w:rsidR="00510D92" w:rsidRPr="007102CB">
        <w:rPr>
          <w:rFonts w:ascii="Times New Roman" w:eastAsia="Times New Roman" w:hAnsi="Times New Roman" w:cs="Times New Roman"/>
          <w:sz w:val="24"/>
          <w:szCs w:val="24"/>
          <w:lang w:eastAsia="en-GB"/>
        </w:rPr>
        <w:t xml:space="preserve">ycle arrived at similar findings. </w:t>
      </w:r>
      <w:r w:rsidR="002E341B" w:rsidRPr="007102CB">
        <w:rPr>
          <w:rFonts w:ascii="Times New Roman" w:eastAsia="Times New Roman" w:hAnsi="Times New Roman" w:cs="Times New Roman"/>
          <w:sz w:val="24"/>
          <w:szCs w:val="24"/>
          <w:lang w:eastAsia="en-GB"/>
        </w:rPr>
        <w:t xml:space="preserve">The most prominent thematic issue in UPR cycle </w:t>
      </w:r>
      <w:r w:rsidR="00773464" w:rsidRPr="007102CB">
        <w:rPr>
          <w:rFonts w:ascii="Times New Roman" w:eastAsia="Times New Roman" w:hAnsi="Times New Roman" w:cs="Times New Roman"/>
          <w:sz w:val="24"/>
          <w:szCs w:val="24"/>
          <w:lang w:eastAsia="en-GB"/>
        </w:rPr>
        <w:t xml:space="preserve">3 and 4 for Zambia was the rights of the child. </w:t>
      </w:r>
      <w:r w:rsidR="0021405A" w:rsidRPr="007102CB">
        <w:rPr>
          <w:rFonts w:ascii="Times New Roman" w:eastAsia="Times New Roman" w:hAnsi="Times New Roman" w:cs="Times New Roman"/>
          <w:sz w:val="24"/>
          <w:szCs w:val="24"/>
          <w:lang w:eastAsia="en-GB"/>
        </w:rPr>
        <w:t>The majority of recommendations within this</w:t>
      </w:r>
      <w:r w:rsidR="007C4352" w:rsidRPr="007102CB">
        <w:rPr>
          <w:rFonts w:ascii="Times New Roman" w:eastAsia="Times New Roman" w:hAnsi="Times New Roman" w:cs="Times New Roman"/>
          <w:sz w:val="24"/>
          <w:szCs w:val="24"/>
          <w:lang w:eastAsia="en-GB"/>
        </w:rPr>
        <w:t xml:space="preserve"> thematic</w:t>
      </w:r>
      <w:r w:rsidR="0021405A" w:rsidRPr="007102CB">
        <w:rPr>
          <w:rFonts w:ascii="Times New Roman" w:eastAsia="Times New Roman" w:hAnsi="Times New Roman" w:cs="Times New Roman"/>
          <w:sz w:val="24"/>
          <w:szCs w:val="24"/>
          <w:lang w:eastAsia="en-GB"/>
        </w:rPr>
        <w:t xml:space="preserve"> category</w:t>
      </w:r>
      <w:r w:rsidR="007C4352" w:rsidRPr="007102CB">
        <w:rPr>
          <w:rFonts w:ascii="Times New Roman" w:eastAsia="Times New Roman" w:hAnsi="Times New Roman" w:cs="Times New Roman"/>
          <w:sz w:val="24"/>
          <w:szCs w:val="24"/>
          <w:lang w:eastAsia="en-GB"/>
        </w:rPr>
        <w:t xml:space="preserve"> (67% in UPR 3 and </w:t>
      </w:r>
      <w:r w:rsidR="00565B81" w:rsidRPr="007102CB">
        <w:rPr>
          <w:rFonts w:ascii="Times New Roman" w:eastAsia="Times New Roman" w:hAnsi="Times New Roman" w:cs="Times New Roman"/>
          <w:sz w:val="24"/>
          <w:szCs w:val="24"/>
          <w:lang w:eastAsia="en-GB"/>
        </w:rPr>
        <w:t xml:space="preserve">64% in cycle </w:t>
      </w:r>
      <w:r w:rsidR="00B634D5" w:rsidRPr="007102CB">
        <w:rPr>
          <w:rFonts w:ascii="Times New Roman" w:eastAsia="Times New Roman" w:hAnsi="Times New Roman" w:cs="Times New Roman"/>
          <w:sz w:val="24"/>
          <w:szCs w:val="24"/>
          <w:lang w:eastAsia="en-GB"/>
        </w:rPr>
        <w:t xml:space="preserve">4) were non-specific recommendations. </w:t>
      </w:r>
      <w:r w:rsidR="001D15FF" w:rsidRPr="007102CB">
        <w:rPr>
          <w:rFonts w:ascii="Times New Roman" w:eastAsia="Times New Roman" w:hAnsi="Times New Roman" w:cs="Times New Roman"/>
          <w:sz w:val="24"/>
          <w:szCs w:val="24"/>
          <w:lang w:eastAsia="en-GB"/>
        </w:rPr>
        <w:t>The right to education was the most prominent NGO issue in cycle 2</w:t>
      </w:r>
      <w:r w:rsidR="009435A3" w:rsidRPr="007102CB">
        <w:rPr>
          <w:rFonts w:ascii="Times New Roman" w:eastAsia="Times New Roman" w:hAnsi="Times New Roman" w:cs="Times New Roman"/>
          <w:sz w:val="24"/>
          <w:szCs w:val="24"/>
          <w:lang w:eastAsia="en-GB"/>
        </w:rPr>
        <w:t xml:space="preserve"> and 61% of the recommendations within this issue category was non-specific recommendations. </w:t>
      </w:r>
      <w:r w:rsidR="004E43A3" w:rsidRPr="007102CB">
        <w:rPr>
          <w:rFonts w:ascii="Times New Roman" w:eastAsia="Times New Roman" w:hAnsi="Times New Roman" w:cs="Times New Roman"/>
          <w:sz w:val="24"/>
          <w:szCs w:val="24"/>
          <w:lang w:eastAsia="en-GB"/>
        </w:rPr>
        <w:t xml:space="preserve">We </w:t>
      </w:r>
      <w:r w:rsidR="00C83F2F" w:rsidRPr="007102CB">
        <w:rPr>
          <w:rFonts w:ascii="Times New Roman" w:eastAsia="Times New Roman" w:hAnsi="Times New Roman" w:cs="Times New Roman"/>
          <w:sz w:val="24"/>
          <w:szCs w:val="24"/>
          <w:lang w:eastAsia="en-GB"/>
        </w:rPr>
        <w:t xml:space="preserve">made similar observations in relation to State recommendations which were </w:t>
      </w:r>
      <w:r w:rsidR="00374AF9" w:rsidRPr="007102CB">
        <w:rPr>
          <w:rFonts w:ascii="Times New Roman" w:eastAsia="Times New Roman" w:hAnsi="Times New Roman" w:cs="Times New Roman"/>
          <w:sz w:val="24"/>
          <w:szCs w:val="24"/>
          <w:lang w:eastAsia="en-GB"/>
        </w:rPr>
        <w:t xml:space="preserve">more general than specific in UPR cycles 4 and 2, even within the most prominent </w:t>
      </w:r>
      <w:r w:rsidR="00374AF9" w:rsidRPr="007102CB">
        <w:rPr>
          <w:rFonts w:ascii="Times New Roman" w:eastAsia="Times New Roman" w:hAnsi="Times New Roman" w:cs="Times New Roman"/>
          <w:sz w:val="24"/>
          <w:szCs w:val="24"/>
          <w:lang w:eastAsia="en-GB"/>
        </w:rPr>
        <w:lastRenderedPageBreak/>
        <w:t xml:space="preserve">thematic issues. </w:t>
      </w:r>
      <w:r w:rsidR="00284766" w:rsidRPr="007102CB">
        <w:rPr>
          <w:rFonts w:ascii="Times New Roman" w:eastAsia="Times New Roman" w:hAnsi="Times New Roman" w:cs="Times New Roman"/>
          <w:sz w:val="24"/>
          <w:szCs w:val="24"/>
          <w:lang w:eastAsia="en-GB"/>
        </w:rPr>
        <w:t xml:space="preserve">However, for both state and NGO recommendations there were </w:t>
      </w:r>
      <w:r w:rsidR="0053389B" w:rsidRPr="007102CB">
        <w:rPr>
          <w:rFonts w:ascii="Times New Roman" w:eastAsia="Times New Roman" w:hAnsi="Times New Roman" w:cs="Times New Roman"/>
          <w:sz w:val="24"/>
          <w:szCs w:val="24"/>
          <w:lang w:eastAsia="en-GB"/>
        </w:rPr>
        <w:t>four</w:t>
      </w:r>
      <w:r w:rsidR="00284766" w:rsidRPr="007102CB">
        <w:rPr>
          <w:rFonts w:ascii="Times New Roman" w:eastAsia="Times New Roman" w:hAnsi="Times New Roman" w:cs="Times New Roman"/>
          <w:sz w:val="24"/>
          <w:szCs w:val="24"/>
          <w:lang w:eastAsia="en-GB"/>
        </w:rPr>
        <w:t xml:space="preserve"> thematic issues that </w:t>
      </w:r>
      <w:r w:rsidR="00614346" w:rsidRPr="007102CB">
        <w:rPr>
          <w:rFonts w:ascii="Times New Roman" w:eastAsia="Times New Roman" w:hAnsi="Times New Roman" w:cs="Times New Roman"/>
          <w:sz w:val="24"/>
          <w:szCs w:val="24"/>
          <w:lang w:eastAsia="en-GB"/>
        </w:rPr>
        <w:t xml:space="preserve">showed a pattern for </w:t>
      </w:r>
      <w:r w:rsidR="00284766" w:rsidRPr="007102CB">
        <w:rPr>
          <w:rFonts w:ascii="Times New Roman" w:eastAsia="Times New Roman" w:hAnsi="Times New Roman" w:cs="Times New Roman"/>
          <w:sz w:val="24"/>
          <w:szCs w:val="24"/>
          <w:lang w:eastAsia="en-GB"/>
        </w:rPr>
        <w:t>receiv</w:t>
      </w:r>
      <w:r w:rsidR="00614346" w:rsidRPr="007102CB">
        <w:rPr>
          <w:rFonts w:ascii="Times New Roman" w:eastAsia="Times New Roman" w:hAnsi="Times New Roman" w:cs="Times New Roman"/>
          <w:sz w:val="24"/>
          <w:szCs w:val="24"/>
          <w:lang w:eastAsia="en-GB"/>
        </w:rPr>
        <w:t>ing</w:t>
      </w:r>
      <w:r w:rsidR="00284766" w:rsidRPr="007102CB">
        <w:rPr>
          <w:rFonts w:ascii="Times New Roman" w:eastAsia="Times New Roman" w:hAnsi="Times New Roman" w:cs="Times New Roman"/>
          <w:sz w:val="24"/>
          <w:szCs w:val="24"/>
          <w:lang w:eastAsia="en-GB"/>
        </w:rPr>
        <w:t xml:space="preserve"> a significantly higher percentage of specific recommendations </w:t>
      </w:r>
      <w:r w:rsidR="00614346" w:rsidRPr="007102CB">
        <w:rPr>
          <w:rFonts w:ascii="Times New Roman" w:eastAsia="Times New Roman" w:hAnsi="Times New Roman" w:cs="Times New Roman"/>
          <w:sz w:val="24"/>
          <w:szCs w:val="24"/>
          <w:lang w:eastAsia="en-GB"/>
        </w:rPr>
        <w:t>even if they were not the most prominent thematic issue</w:t>
      </w:r>
      <w:r w:rsidR="00AD2F13" w:rsidRPr="007102CB">
        <w:rPr>
          <w:rFonts w:ascii="Times New Roman" w:eastAsia="Times New Roman" w:hAnsi="Times New Roman" w:cs="Times New Roman"/>
          <w:sz w:val="24"/>
          <w:szCs w:val="24"/>
          <w:lang w:eastAsia="en-GB"/>
        </w:rPr>
        <w:t>s</w:t>
      </w:r>
      <w:r w:rsidR="00614346" w:rsidRPr="007102CB">
        <w:rPr>
          <w:rFonts w:ascii="Times New Roman" w:eastAsia="Times New Roman" w:hAnsi="Times New Roman" w:cs="Times New Roman"/>
          <w:sz w:val="24"/>
          <w:szCs w:val="24"/>
          <w:lang w:eastAsia="en-GB"/>
        </w:rPr>
        <w:t>.</w:t>
      </w:r>
      <w:r w:rsidR="00322C87" w:rsidRPr="007102CB">
        <w:rPr>
          <w:rFonts w:ascii="Times New Roman" w:eastAsia="Times New Roman" w:hAnsi="Times New Roman" w:cs="Times New Roman"/>
          <w:sz w:val="24"/>
          <w:szCs w:val="24"/>
          <w:lang w:eastAsia="en-GB"/>
        </w:rPr>
        <w:t xml:space="preserve"> </w:t>
      </w:r>
      <w:r w:rsidR="00AD2F13" w:rsidRPr="007102CB">
        <w:rPr>
          <w:rFonts w:ascii="Times New Roman" w:eastAsia="Times New Roman" w:hAnsi="Times New Roman" w:cs="Times New Roman"/>
          <w:sz w:val="24"/>
          <w:szCs w:val="24"/>
          <w:lang w:eastAsia="en-GB"/>
        </w:rPr>
        <w:t xml:space="preserve">These included recommendations on </w:t>
      </w:r>
      <w:r w:rsidR="0073175A" w:rsidRPr="007102CB">
        <w:rPr>
          <w:rFonts w:ascii="Times New Roman" w:eastAsia="Times New Roman" w:hAnsi="Times New Roman" w:cs="Times New Roman"/>
          <w:sz w:val="24"/>
          <w:szCs w:val="24"/>
          <w:lang w:eastAsia="en-GB"/>
        </w:rPr>
        <w:t xml:space="preserve">‘Torture and Detention’, </w:t>
      </w:r>
      <w:r w:rsidR="00142572" w:rsidRPr="007102CB">
        <w:rPr>
          <w:rFonts w:ascii="Times New Roman" w:eastAsia="Times New Roman" w:hAnsi="Times New Roman" w:cs="Times New Roman"/>
          <w:sz w:val="24"/>
          <w:szCs w:val="24"/>
          <w:lang w:eastAsia="en-GB"/>
        </w:rPr>
        <w:t>‘</w:t>
      </w:r>
      <w:r w:rsidR="0073175A" w:rsidRPr="007102CB">
        <w:rPr>
          <w:rFonts w:ascii="Times New Roman" w:eastAsia="Times New Roman" w:hAnsi="Times New Roman" w:cs="Times New Roman"/>
          <w:sz w:val="24"/>
          <w:szCs w:val="24"/>
          <w:lang w:eastAsia="en-GB"/>
        </w:rPr>
        <w:t xml:space="preserve">Sexual Orientation and Gender </w:t>
      </w:r>
      <w:r w:rsidR="00142572" w:rsidRPr="007102CB">
        <w:rPr>
          <w:rFonts w:ascii="Times New Roman" w:eastAsia="Times New Roman" w:hAnsi="Times New Roman" w:cs="Times New Roman"/>
          <w:sz w:val="24"/>
          <w:szCs w:val="24"/>
          <w:lang w:eastAsia="en-GB"/>
        </w:rPr>
        <w:t>I</w:t>
      </w:r>
      <w:r w:rsidR="0073175A" w:rsidRPr="007102CB">
        <w:rPr>
          <w:rFonts w:ascii="Times New Roman" w:eastAsia="Times New Roman" w:hAnsi="Times New Roman" w:cs="Times New Roman"/>
          <w:sz w:val="24"/>
          <w:szCs w:val="24"/>
          <w:lang w:eastAsia="en-GB"/>
        </w:rPr>
        <w:t>dentity</w:t>
      </w:r>
      <w:r w:rsidR="00142572" w:rsidRPr="007102CB">
        <w:rPr>
          <w:rFonts w:ascii="Times New Roman" w:eastAsia="Times New Roman" w:hAnsi="Times New Roman" w:cs="Times New Roman"/>
          <w:sz w:val="24"/>
          <w:szCs w:val="24"/>
          <w:lang w:eastAsia="en-GB"/>
        </w:rPr>
        <w:t xml:space="preserve">’, ‘Death penalty’, and ‘Freedom of Press, Opinion and Expression’. </w:t>
      </w:r>
      <w:r w:rsidR="00855CBE" w:rsidRPr="007102CB">
        <w:rPr>
          <w:rFonts w:ascii="Times New Roman" w:eastAsia="Times New Roman" w:hAnsi="Times New Roman" w:cs="Times New Roman"/>
          <w:sz w:val="24"/>
          <w:szCs w:val="24"/>
          <w:lang w:eastAsia="en-GB"/>
        </w:rPr>
        <w:t xml:space="preserve">For example, over 60% of both states and NGO recommendations to Zambia during </w:t>
      </w:r>
      <w:r w:rsidR="007F5B8B" w:rsidRPr="007102CB">
        <w:rPr>
          <w:rFonts w:ascii="Times New Roman" w:eastAsia="Times New Roman" w:hAnsi="Times New Roman" w:cs="Times New Roman"/>
          <w:sz w:val="24"/>
          <w:szCs w:val="24"/>
          <w:lang w:eastAsia="en-GB"/>
        </w:rPr>
        <w:t>UPR cycle 3 and 4 were specific recommendations.</w:t>
      </w:r>
      <w:r w:rsidR="00AC7AC4" w:rsidRPr="007102CB">
        <w:rPr>
          <w:rFonts w:ascii="Times New Roman" w:eastAsia="Times New Roman" w:hAnsi="Times New Roman" w:cs="Times New Roman"/>
          <w:sz w:val="24"/>
          <w:szCs w:val="24"/>
          <w:lang w:eastAsia="en-GB"/>
        </w:rPr>
        <w:t xml:space="preserve"> Over 80% of state recommendations </w:t>
      </w:r>
      <w:r w:rsidR="00CF3ECC" w:rsidRPr="007102CB">
        <w:rPr>
          <w:rFonts w:ascii="Times New Roman" w:eastAsia="Times New Roman" w:hAnsi="Times New Roman" w:cs="Times New Roman"/>
          <w:sz w:val="24"/>
          <w:szCs w:val="24"/>
          <w:lang w:eastAsia="en-GB"/>
        </w:rPr>
        <w:t xml:space="preserve">to Zambia </w:t>
      </w:r>
      <w:r w:rsidR="00AC7AC4" w:rsidRPr="007102CB">
        <w:rPr>
          <w:rFonts w:ascii="Times New Roman" w:eastAsia="Times New Roman" w:hAnsi="Times New Roman" w:cs="Times New Roman"/>
          <w:sz w:val="24"/>
          <w:szCs w:val="24"/>
          <w:lang w:eastAsia="en-GB"/>
        </w:rPr>
        <w:t xml:space="preserve">on </w:t>
      </w:r>
      <w:r w:rsidR="00CF3ECC" w:rsidRPr="007102CB">
        <w:rPr>
          <w:rFonts w:ascii="Times New Roman" w:eastAsia="Times New Roman" w:hAnsi="Times New Roman" w:cs="Times New Roman"/>
          <w:sz w:val="24"/>
          <w:szCs w:val="24"/>
          <w:lang w:eastAsia="en-GB"/>
        </w:rPr>
        <w:t xml:space="preserve">‘Freedom of Press, Opinion and Expression’ and on </w:t>
      </w:r>
      <w:r w:rsidR="00323166" w:rsidRPr="007102CB">
        <w:rPr>
          <w:rFonts w:ascii="Times New Roman" w:eastAsia="Times New Roman" w:hAnsi="Times New Roman" w:cs="Times New Roman"/>
          <w:sz w:val="24"/>
          <w:szCs w:val="24"/>
          <w:lang w:eastAsia="en-GB"/>
        </w:rPr>
        <w:t xml:space="preserve">‘Sexual Orientation and Gender Identity’ were </w:t>
      </w:r>
      <w:r w:rsidR="00BF3901" w:rsidRPr="007102CB">
        <w:rPr>
          <w:rFonts w:ascii="Times New Roman" w:eastAsia="Times New Roman" w:hAnsi="Times New Roman" w:cs="Times New Roman"/>
          <w:sz w:val="24"/>
          <w:szCs w:val="24"/>
          <w:lang w:eastAsia="en-GB"/>
        </w:rPr>
        <w:t>specific recommendations.</w:t>
      </w:r>
      <w:r w:rsidR="00975C97" w:rsidRPr="007102CB">
        <w:rPr>
          <w:rFonts w:ascii="Times New Roman" w:eastAsia="Times New Roman" w:hAnsi="Times New Roman" w:cs="Times New Roman"/>
          <w:sz w:val="24"/>
          <w:szCs w:val="24"/>
          <w:lang w:eastAsia="en-GB"/>
        </w:rPr>
        <w:t xml:space="preserve"> </w:t>
      </w:r>
      <w:r w:rsidR="00931448" w:rsidRPr="007102CB">
        <w:rPr>
          <w:rFonts w:ascii="Times New Roman" w:eastAsia="Times New Roman" w:hAnsi="Times New Roman" w:cs="Times New Roman"/>
          <w:sz w:val="24"/>
          <w:szCs w:val="24"/>
          <w:lang w:eastAsia="en-GB"/>
        </w:rPr>
        <w:t xml:space="preserve">While NGOs recommendations across these categories were also specific, the </w:t>
      </w:r>
      <w:r w:rsidR="00426733" w:rsidRPr="007102CB">
        <w:rPr>
          <w:rFonts w:ascii="Times New Roman" w:eastAsia="Times New Roman" w:hAnsi="Times New Roman" w:cs="Times New Roman"/>
          <w:sz w:val="24"/>
          <w:szCs w:val="24"/>
          <w:lang w:eastAsia="en-GB"/>
        </w:rPr>
        <w:t xml:space="preserve">proportion was less compared to state recommendations. </w:t>
      </w:r>
      <w:r w:rsidR="000D4776" w:rsidRPr="007102CB">
        <w:rPr>
          <w:rFonts w:ascii="Times New Roman" w:eastAsia="Times New Roman" w:hAnsi="Times New Roman" w:cs="Times New Roman"/>
          <w:sz w:val="24"/>
          <w:szCs w:val="24"/>
          <w:lang w:eastAsia="en-GB"/>
        </w:rPr>
        <w:t xml:space="preserve">In UPR cycle 4, </w:t>
      </w:r>
      <w:r w:rsidR="00F629F5" w:rsidRPr="007102CB">
        <w:rPr>
          <w:rFonts w:ascii="Times New Roman" w:eastAsia="Times New Roman" w:hAnsi="Times New Roman" w:cs="Times New Roman"/>
          <w:sz w:val="24"/>
          <w:szCs w:val="24"/>
          <w:lang w:eastAsia="en-GB"/>
        </w:rPr>
        <w:t xml:space="preserve">67% of NGO recommendations on </w:t>
      </w:r>
      <w:r w:rsidR="004607AE" w:rsidRPr="007102CB">
        <w:rPr>
          <w:rFonts w:ascii="Times New Roman" w:eastAsia="Times New Roman" w:hAnsi="Times New Roman" w:cs="Times New Roman"/>
          <w:sz w:val="24"/>
          <w:szCs w:val="24"/>
          <w:lang w:eastAsia="en-GB"/>
        </w:rPr>
        <w:t>t</w:t>
      </w:r>
      <w:r w:rsidR="00F629F5" w:rsidRPr="007102CB">
        <w:rPr>
          <w:rFonts w:ascii="Times New Roman" w:eastAsia="Times New Roman" w:hAnsi="Times New Roman" w:cs="Times New Roman"/>
          <w:sz w:val="24"/>
          <w:szCs w:val="24"/>
          <w:lang w:eastAsia="en-GB"/>
        </w:rPr>
        <w:t xml:space="preserve">he </w:t>
      </w:r>
      <w:r w:rsidR="002762A8" w:rsidRPr="007102CB">
        <w:rPr>
          <w:rFonts w:ascii="Times New Roman" w:eastAsia="Times New Roman" w:hAnsi="Times New Roman" w:cs="Times New Roman"/>
          <w:sz w:val="24"/>
          <w:szCs w:val="24"/>
          <w:lang w:eastAsia="en-GB"/>
        </w:rPr>
        <w:t>‘</w:t>
      </w:r>
      <w:r w:rsidR="00F629F5" w:rsidRPr="007102CB">
        <w:rPr>
          <w:rFonts w:ascii="Times New Roman" w:eastAsia="Times New Roman" w:hAnsi="Times New Roman" w:cs="Times New Roman"/>
          <w:sz w:val="24"/>
          <w:szCs w:val="24"/>
          <w:lang w:eastAsia="en-GB"/>
        </w:rPr>
        <w:t>death penalty</w:t>
      </w:r>
      <w:r w:rsidR="002762A8" w:rsidRPr="007102CB">
        <w:rPr>
          <w:rFonts w:ascii="Times New Roman" w:eastAsia="Times New Roman" w:hAnsi="Times New Roman" w:cs="Times New Roman"/>
          <w:sz w:val="24"/>
          <w:szCs w:val="24"/>
          <w:lang w:eastAsia="en-GB"/>
        </w:rPr>
        <w:t>’</w:t>
      </w:r>
      <w:r w:rsidR="00F629F5" w:rsidRPr="007102CB">
        <w:rPr>
          <w:rFonts w:ascii="Times New Roman" w:eastAsia="Times New Roman" w:hAnsi="Times New Roman" w:cs="Times New Roman"/>
          <w:sz w:val="24"/>
          <w:szCs w:val="24"/>
          <w:lang w:eastAsia="en-GB"/>
        </w:rPr>
        <w:t xml:space="preserve"> was specific (compared to </w:t>
      </w:r>
      <w:r w:rsidR="004607AE" w:rsidRPr="007102CB">
        <w:rPr>
          <w:rFonts w:ascii="Times New Roman" w:eastAsia="Times New Roman" w:hAnsi="Times New Roman" w:cs="Times New Roman"/>
          <w:sz w:val="24"/>
          <w:szCs w:val="24"/>
          <w:lang w:eastAsia="en-GB"/>
        </w:rPr>
        <w:t>77% by states)</w:t>
      </w:r>
      <w:r w:rsidR="005D14CE" w:rsidRPr="007102CB">
        <w:rPr>
          <w:rFonts w:ascii="Times New Roman" w:eastAsia="Times New Roman" w:hAnsi="Times New Roman" w:cs="Times New Roman"/>
          <w:sz w:val="24"/>
          <w:szCs w:val="24"/>
          <w:lang w:eastAsia="en-GB"/>
        </w:rPr>
        <w:t>;</w:t>
      </w:r>
      <w:r w:rsidR="004607AE" w:rsidRPr="007102CB">
        <w:rPr>
          <w:rFonts w:ascii="Times New Roman" w:eastAsia="Times New Roman" w:hAnsi="Times New Roman" w:cs="Times New Roman"/>
          <w:sz w:val="24"/>
          <w:szCs w:val="24"/>
          <w:lang w:eastAsia="en-GB"/>
        </w:rPr>
        <w:t xml:space="preserve"> 59% on ‘Freedom of Press, Opinion and Expression’ (compared to </w:t>
      </w:r>
      <w:r w:rsidR="005D14CE" w:rsidRPr="007102CB">
        <w:rPr>
          <w:rFonts w:ascii="Times New Roman" w:eastAsia="Times New Roman" w:hAnsi="Times New Roman" w:cs="Times New Roman"/>
          <w:sz w:val="24"/>
          <w:szCs w:val="24"/>
          <w:lang w:eastAsia="en-GB"/>
        </w:rPr>
        <w:t xml:space="preserve">84% by states); </w:t>
      </w:r>
      <w:r w:rsidR="001F2EAB" w:rsidRPr="007102CB">
        <w:rPr>
          <w:rFonts w:ascii="Times New Roman" w:eastAsia="Times New Roman" w:hAnsi="Times New Roman" w:cs="Times New Roman"/>
          <w:sz w:val="24"/>
          <w:szCs w:val="24"/>
          <w:lang w:eastAsia="en-GB"/>
        </w:rPr>
        <w:t xml:space="preserve">and </w:t>
      </w:r>
      <w:r w:rsidR="0022233D" w:rsidRPr="007102CB">
        <w:rPr>
          <w:rFonts w:ascii="Times New Roman" w:eastAsia="Times New Roman" w:hAnsi="Times New Roman" w:cs="Times New Roman"/>
          <w:sz w:val="24"/>
          <w:szCs w:val="24"/>
          <w:lang w:eastAsia="en-GB"/>
        </w:rPr>
        <w:t>54% on ‘Sexual Orientation and Gender Identity (compared to 82% by states)</w:t>
      </w:r>
      <w:r w:rsidR="001F2EAB" w:rsidRPr="007102CB">
        <w:rPr>
          <w:rFonts w:ascii="Times New Roman" w:eastAsia="Times New Roman" w:hAnsi="Times New Roman" w:cs="Times New Roman"/>
          <w:sz w:val="24"/>
          <w:szCs w:val="24"/>
          <w:lang w:eastAsia="en-GB"/>
        </w:rPr>
        <w:t xml:space="preserve">. </w:t>
      </w:r>
    </w:p>
    <w:p w14:paraId="4AF90380" w14:textId="1EC40B60" w:rsidR="00F5278F" w:rsidRPr="007102CB" w:rsidRDefault="007C668E"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 xml:space="preserve">When </w:t>
      </w:r>
      <w:r w:rsidR="009C560A" w:rsidRPr="007102CB">
        <w:rPr>
          <w:rFonts w:ascii="Times New Roman" w:eastAsia="Times New Roman" w:hAnsi="Times New Roman" w:cs="Times New Roman"/>
          <w:sz w:val="24"/>
          <w:szCs w:val="24"/>
          <w:lang w:eastAsia="en-GB"/>
        </w:rPr>
        <w:t xml:space="preserve">compared to Kenya, we found </w:t>
      </w:r>
      <w:r w:rsidR="00797F66" w:rsidRPr="007102CB">
        <w:rPr>
          <w:rFonts w:ascii="Times New Roman" w:eastAsia="Times New Roman" w:hAnsi="Times New Roman" w:cs="Times New Roman"/>
          <w:sz w:val="24"/>
          <w:szCs w:val="24"/>
          <w:lang w:eastAsia="en-GB"/>
        </w:rPr>
        <w:t xml:space="preserve">a significant contrast where the proportion of </w:t>
      </w:r>
      <w:r w:rsidR="00D108B6" w:rsidRPr="007102CB">
        <w:rPr>
          <w:rFonts w:ascii="Times New Roman" w:eastAsia="Times New Roman" w:hAnsi="Times New Roman" w:cs="Times New Roman"/>
          <w:sz w:val="24"/>
          <w:szCs w:val="24"/>
          <w:lang w:eastAsia="en-GB"/>
        </w:rPr>
        <w:t>specific</w:t>
      </w:r>
      <w:r w:rsidR="00D06A80" w:rsidRPr="007102CB">
        <w:rPr>
          <w:rFonts w:ascii="Times New Roman" w:eastAsia="Times New Roman" w:hAnsi="Times New Roman" w:cs="Times New Roman"/>
          <w:sz w:val="24"/>
          <w:szCs w:val="24"/>
          <w:lang w:eastAsia="en-GB"/>
        </w:rPr>
        <w:t xml:space="preserve"> (R4)</w:t>
      </w:r>
      <w:r w:rsidR="00D108B6" w:rsidRPr="007102CB">
        <w:rPr>
          <w:rFonts w:ascii="Times New Roman" w:eastAsia="Times New Roman" w:hAnsi="Times New Roman" w:cs="Times New Roman"/>
          <w:sz w:val="24"/>
          <w:szCs w:val="24"/>
          <w:lang w:eastAsia="en-GB"/>
        </w:rPr>
        <w:t xml:space="preserve"> </w:t>
      </w:r>
      <w:r w:rsidR="00797F66" w:rsidRPr="007102CB">
        <w:rPr>
          <w:rFonts w:ascii="Times New Roman" w:eastAsia="Times New Roman" w:hAnsi="Times New Roman" w:cs="Times New Roman"/>
          <w:sz w:val="24"/>
          <w:szCs w:val="24"/>
          <w:lang w:eastAsia="en-GB"/>
        </w:rPr>
        <w:t>NGO recommendations across thematic categories were</w:t>
      </w:r>
      <w:r w:rsidR="00D108B6" w:rsidRPr="007102CB">
        <w:rPr>
          <w:rFonts w:ascii="Times New Roman" w:eastAsia="Times New Roman" w:hAnsi="Times New Roman" w:cs="Times New Roman"/>
          <w:sz w:val="24"/>
          <w:szCs w:val="24"/>
          <w:lang w:eastAsia="en-GB"/>
        </w:rPr>
        <w:t xml:space="preserve"> significantly higher than the proportion of </w:t>
      </w:r>
      <w:r w:rsidR="00D06A80" w:rsidRPr="007102CB">
        <w:rPr>
          <w:rFonts w:ascii="Times New Roman" w:eastAsia="Times New Roman" w:hAnsi="Times New Roman" w:cs="Times New Roman"/>
          <w:sz w:val="24"/>
          <w:szCs w:val="24"/>
          <w:lang w:eastAsia="en-GB"/>
        </w:rPr>
        <w:t xml:space="preserve">specific (R4) state recommendations. </w:t>
      </w:r>
      <w:r w:rsidR="00F95C53" w:rsidRPr="007102CB">
        <w:rPr>
          <w:rFonts w:ascii="Times New Roman" w:eastAsia="Times New Roman" w:hAnsi="Times New Roman" w:cs="Times New Roman"/>
          <w:sz w:val="24"/>
          <w:szCs w:val="24"/>
          <w:lang w:eastAsia="en-GB"/>
        </w:rPr>
        <w:t xml:space="preserve">For example, in cycle 3 of the UPR, </w:t>
      </w:r>
      <w:r w:rsidR="00E520B7" w:rsidRPr="007102CB">
        <w:rPr>
          <w:rFonts w:ascii="Times New Roman" w:eastAsia="Times New Roman" w:hAnsi="Times New Roman" w:cs="Times New Roman"/>
          <w:sz w:val="24"/>
          <w:szCs w:val="24"/>
          <w:lang w:eastAsia="en-GB"/>
        </w:rPr>
        <w:t>77</w:t>
      </w:r>
      <w:r w:rsidR="002762A8" w:rsidRPr="007102CB">
        <w:rPr>
          <w:rFonts w:ascii="Times New Roman" w:eastAsia="Times New Roman" w:hAnsi="Times New Roman" w:cs="Times New Roman"/>
          <w:sz w:val="24"/>
          <w:szCs w:val="24"/>
          <w:lang w:eastAsia="en-GB"/>
        </w:rPr>
        <w:t>% of NGO recommendations on the ’right to life and reproductive rights</w:t>
      </w:r>
      <w:r w:rsidR="00F10E32" w:rsidRPr="007102CB">
        <w:rPr>
          <w:rFonts w:ascii="Times New Roman" w:eastAsia="Times New Roman" w:hAnsi="Times New Roman" w:cs="Times New Roman"/>
          <w:sz w:val="24"/>
          <w:szCs w:val="24"/>
          <w:lang w:eastAsia="en-GB"/>
        </w:rPr>
        <w:t xml:space="preserve">’ were specific (compared to 33% by states); </w:t>
      </w:r>
      <w:r w:rsidR="008C0602" w:rsidRPr="007102CB">
        <w:rPr>
          <w:rFonts w:ascii="Times New Roman" w:eastAsia="Times New Roman" w:hAnsi="Times New Roman" w:cs="Times New Roman"/>
          <w:sz w:val="24"/>
          <w:szCs w:val="24"/>
          <w:lang w:eastAsia="en-GB"/>
        </w:rPr>
        <w:t xml:space="preserve">81% on ‘sexual and gender-based violence’ (compared to </w:t>
      </w:r>
      <w:r w:rsidR="003D597A" w:rsidRPr="007102CB">
        <w:rPr>
          <w:rFonts w:ascii="Times New Roman" w:eastAsia="Times New Roman" w:hAnsi="Times New Roman" w:cs="Times New Roman"/>
          <w:sz w:val="24"/>
          <w:szCs w:val="24"/>
          <w:lang w:eastAsia="en-GB"/>
        </w:rPr>
        <w:t xml:space="preserve">25% by states); </w:t>
      </w:r>
      <w:r w:rsidR="007E53C9" w:rsidRPr="007102CB">
        <w:rPr>
          <w:rFonts w:ascii="Times New Roman" w:eastAsia="Times New Roman" w:hAnsi="Times New Roman" w:cs="Times New Roman"/>
          <w:sz w:val="24"/>
          <w:szCs w:val="24"/>
          <w:lang w:eastAsia="en-GB"/>
        </w:rPr>
        <w:t xml:space="preserve">88% on trafficking (compared to </w:t>
      </w:r>
      <w:r w:rsidR="002C5AFD" w:rsidRPr="007102CB">
        <w:rPr>
          <w:rFonts w:ascii="Times New Roman" w:eastAsia="Times New Roman" w:hAnsi="Times New Roman" w:cs="Times New Roman"/>
          <w:sz w:val="24"/>
          <w:szCs w:val="24"/>
          <w:lang w:eastAsia="en-GB"/>
        </w:rPr>
        <w:t>33% by states)</w:t>
      </w:r>
      <w:r w:rsidR="00345247" w:rsidRPr="007102CB">
        <w:rPr>
          <w:rFonts w:ascii="Times New Roman" w:eastAsia="Times New Roman" w:hAnsi="Times New Roman" w:cs="Times New Roman"/>
          <w:sz w:val="24"/>
          <w:szCs w:val="24"/>
          <w:lang w:eastAsia="en-GB"/>
        </w:rPr>
        <w:t xml:space="preserve">; and </w:t>
      </w:r>
      <w:r w:rsidR="00C74E7D" w:rsidRPr="007102CB">
        <w:rPr>
          <w:rFonts w:ascii="Times New Roman" w:eastAsia="Times New Roman" w:hAnsi="Times New Roman" w:cs="Times New Roman"/>
          <w:sz w:val="24"/>
          <w:szCs w:val="24"/>
          <w:lang w:eastAsia="en-GB"/>
        </w:rPr>
        <w:t>83</w:t>
      </w:r>
      <w:r w:rsidR="00746C34" w:rsidRPr="007102CB">
        <w:rPr>
          <w:rFonts w:ascii="Times New Roman" w:eastAsia="Times New Roman" w:hAnsi="Times New Roman" w:cs="Times New Roman"/>
          <w:sz w:val="24"/>
          <w:szCs w:val="24"/>
          <w:lang w:eastAsia="en-GB"/>
        </w:rPr>
        <w:t xml:space="preserve">% on ‘disability rights’ (compared to </w:t>
      </w:r>
      <w:r w:rsidR="00C74E7D" w:rsidRPr="007102CB">
        <w:rPr>
          <w:rFonts w:ascii="Times New Roman" w:eastAsia="Times New Roman" w:hAnsi="Times New Roman" w:cs="Times New Roman"/>
          <w:sz w:val="24"/>
          <w:szCs w:val="24"/>
          <w:lang w:eastAsia="en-GB"/>
        </w:rPr>
        <w:t xml:space="preserve">38% by states). </w:t>
      </w:r>
      <w:r w:rsidR="00410AA2" w:rsidRPr="007102CB">
        <w:rPr>
          <w:rFonts w:ascii="Times New Roman" w:eastAsia="Times New Roman" w:hAnsi="Times New Roman" w:cs="Times New Roman"/>
          <w:sz w:val="24"/>
          <w:szCs w:val="24"/>
          <w:lang w:eastAsia="en-GB"/>
        </w:rPr>
        <w:t xml:space="preserve">Unlike in the case of Kenya, </w:t>
      </w:r>
      <w:r w:rsidR="005D2244" w:rsidRPr="007102CB">
        <w:rPr>
          <w:rFonts w:ascii="Times New Roman" w:eastAsia="Times New Roman" w:hAnsi="Times New Roman" w:cs="Times New Roman"/>
          <w:sz w:val="24"/>
          <w:szCs w:val="24"/>
          <w:lang w:eastAsia="en-GB"/>
        </w:rPr>
        <w:t xml:space="preserve">NGOs in Zambia </w:t>
      </w:r>
      <w:r w:rsidR="00671A6D" w:rsidRPr="007102CB">
        <w:rPr>
          <w:rFonts w:ascii="Times New Roman" w:eastAsia="Times New Roman" w:hAnsi="Times New Roman" w:cs="Times New Roman"/>
          <w:sz w:val="24"/>
          <w:szCs w:val="24"/>
          <w:lang w:eastAsia="en-GB"/>
        </w:rPr>
        <w:t xml:space="preserve">across </w:t>
      </w:r>
      <w:r w:rsidR="009B78FB" w:rsidRPr="007102CB">
        <w:rPr>
          <w:rFonts w:ascii="Times New Roman" w:eastAsia="Times New Roman" w:hAnsi="Times New Roman" w:cs="Times New Roman"/>
          <w:sz w:val="24"/>
          <w:szCs w:val="24"/>
          <w:lang w:eastAsia="en-GB"/>
        </w:rPr>
        <w:t xml:space="preserve">UPR the last two cycles </w:t>
      </w:r>
      <w:r w:rsidR="005D2244" w:rsidRPr="007102CB">
        <w:rPr>
          <w:rFonts w:ascii="Times New Roman" w:eastAsia="Times New Roman" w:hAnsi="Times New Roman" w:cs="Times New Roman"/>
          <w:sz w:val="24"/>
          <w:szCs w:val="24"/>
          <w:lang w:eastAsia="en-GB"/>
        </w:rPr>
        <w:t xml:space="preserve">made </w:t>
      </w:r>
      <w:r w:rsidR="00410AA2" w:rsidRPr="007102CB">
        <w:rPr>
          <w:rFonts w:ascii="Times New Roman" w:eastAsia="Times New Roman" w:hAnsi="Times New Roman" w:cs="Times New Roman"/>
          <w:sz w:val="24"/>
          <w:szCs w:val="24"/>
          <w:lang w:eastAsia="en-GB"/>
        </w:rPr>
        <w:t xml:space="preserve">recommendations </w:t>
      </w:r>
      <w:r w:rsidR="00671A6D" w:rsidRPr="007102CB">
        <w:rPr>
          <w:rFonts w:ascii="Times New Roman" w:eastAsia="Times New Roman" w:hAnsi="Times New Roman" w:cs="Times New Roman"/>
          <w:sz w:val="24"/>
          <w:szCs w:val="24"/>
          <w:lang w:eastAsia="en-GB"/>
        </w:rPr>
        <w:t xml:space="preserve">across R1 (minimal action), R2 (continuing action), and R3 (consider action). </w:t>
      </w:r>
    </w:p>
    <w:p w14:paraId="1A6A4B0F" w14:textId="4085DA3D" w:rsidR="00B41FF1" w:rsidRPr="007102CB" w:rsidRDefault="00604EF9"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 xml:space="preserve">Reflecting on the disparity in the quality of recommendations </w:t>
      </w:r>
      <w:r w:rsidR="00B33198" w:rsidRPr="007102CB">
        <w:rPr>
          <w:rFonts w:ascii="Times New Roman" w:eastAsia="Times New Roman" w:hAnsi="Times New Roman" w:cs="Times New Roman"/>
          <w:sz w:val="24"/>
          <w:szCs w:val="24"/>
          <w:lang w:eastAsia="en-GB"/>
        </w:rPr>
        <w:t>between Kenya and Zambia,</w:t>
      </w:r>
      <w:r w:rsidRPr="007102CB">
        <w:rPr>
          <w:rFonts w:ascii="Times New Roman" w:eastAsia="Times New Roman" w:hAnsi="Times New Roman" w:cs="Times New Roman"/>
          <w:sz w:val="24"/>
          <w:szCs w:val="24"/>
          <w:lang w:eastAsia="en-GB"/>
        </w:rPr>
        <w:t xml:space="preserve"> </w:t>
      </w:r>
      <w:r w:rsidR="00B33198" w:rsidRPr="007102CB">
        <w:rPr>
          <w:rFonts w:ascii="Times New Roman" w:eastAsia="Times New Roman" w:hAnsi="Times New Roman" w:cs="Times New Roman"/>
          <w:sz w:val="24"/>
          <w:szCs w:val="24"/>
          <w:lang w:eastAsia="en-GB"/>
        </w:rPr>
        <w:t>i</w:t>
      </w:r>
      <w:r w:rsidR="00C74E7D" w:rsidRPr="007102CB">
        <w:rPr>
          <w:rFonts w:ascii="Times New Roman" w:eastAsia="Times New Roman" w:hAnsi="Times New Roman" w:cs="Times New Roman"/>
          <w:sz w:val="24"/>
          <w:szCs w:val="24"/>
          <w:lang w:eastAsia="en-GB"/>
        </w:rPr>
        <w:t>t is arguable that the absence of a well organised national NGO UPR coalition, lobbying and advocacy strategy</w:t>
      </w:r>
      <w:r w:rsidR="00347ECF" w:rsidRPr="007102CB">
        <w:rPr>
          <w:rFonts w:ascii="Times New Roman" w:eastAsia="Times New Roman" w:hAnsi="Times New Roman" w:cs="Times New Roman"/>
          <w:sz w:val="24"/>
          <w:szCs w:val="24"/>
          <w:lang w:eastAsia="en-GB"/>
        </w:rPr>
        <w:t xml:space="preserve">, and limited engagement with pre-review sessions in Geneva </w:t>
      </w:r>
      <w:r w:rsidR="00604971" w:rsidRPr="007102CB">
        <w:rPr>
          <w:rFonts w:ascii="Times New Roman" w:eastAsia="Times New Roman" w:hAnsi="Times New Roman" w:cs="Times New Roman"/>
          <w:sz w:val="24"/>
          <w:szCs w:val="24"/>
          <w:lang w:eastAsia="en-GB"/>
        </w:rPr>
        <w:t>also has an impact on the quality of both N</w:t>
      </w:r>
      <w:r w:rsidR="00B33198" w:rsidRPr="007102CB">
        <w:rPr>
          <w:rFonts w:ascii="Times New Roman" w:eastAsia="Times New Roman" w:hAnsi="Times New Roman" w:cs="Times New Roman"/>
          <w:sz w:val="24"/>
          <w:szCs w:val="24"/>
          <w:lang w:eastAsia="en-GB"/>
        </w:rPr>
        <w:t>GO</w:t>
      </w:r>
      <w:r w:rsidR="00604971" w:rsidRPr="007102CB">
        <w:rPr>
          <w:rFonts w:ascii="Times New Roman" w:eastAsia="Times New Roman" w:hAnsi="Times New Roman" w:cs="Times New Roman"/>
          <w:sz w:val="24"/>
          <w:szCs w:val="24"/>
          <w:lang w:eastAsia="en-GB"/>
        </w:rPr>
        <w:t xml:space="preserve"> and state recommendations in the UPR process.</w:t>
      </w:r>
      <w:r w:rsidR="00576CA0" w:rsidRPr="007102CB">
        <w:rPr>
          <w:rFonts w:ascii="Times New Roman" w:eastAsia="Times New Roman" w:hAnsi="Times New Roman" w:cs="Times New Roman"/>
          <w:sz w:val="24"/>
          <w:szCs w:val="24"/>
          <w:lang w:eastAsia="en-GB"/>
        </w:rPr>
        <w:t xml:space="preserve"> These were absent in the case of Zambia but employed in the case of </w:t>
      </w:r>
      <w:r w:rsidR="0071333A" w:rsidRPr="007102CB">
        <w:rPr>
          <w:rFonts w:ascii="Times New Roman" w:eastAsia="Times New Roman" w:hAnsi="Times New Roman" w:cs="Times New Roman"/>
          <w:sz w:val="24"/>
          <w:szCs w:val="24"/>
          <w:lang w:eastAsia="en-GB"/>
        </w:rPr>
        <w:t xml:space="preserve">Kenya. </w:t>
      </w:r>
    </w:p>
    <w:p w14:paraId="3DA154F1" w14:textId="0E3C7E67" w:rsidR="00C320E1" w:rsidRPr="007102CB" w:rsidRDefault="00C320E1" w:rsidP="001D4DE9">
      <w:pPr>
        <w:pStyle w:val="Heading2"/>
        <w:numPr>
          <w:ilvl w:val="0"/>
          <w:numId w:val="16"/>
        </w:numPr>
        <w:rPr>
          <w:rFonts w:ascii="Times New Roman" w:hAnsi="Times New Roman" w:cs="Times New Roman"/>
          <w:color w:val="auto"/>
          <w:lang w:eastAsia="en-GB"/>
        </w:rPr>
      </w:pPr>
      <w:r w:rsidRPr="007102CB">
        <w:rPr>
          <w:rFonts w:ascii="Times New Roman" w:hAnsi="Times New Roman" w:cs="Times New Roman"/>
          <w:color w:val="auto"/>
          <w:lang w:eastAsia="en-GB"/>
        </w:rPr>
        <w:t>Concluding Remarks</w:t>
      </w:r>
    </w:p>
    <w:p w14:paraId="6E74C7CF" w14:textId="3964A208" w:rsidR="00CE675D" w:rsidRPr="007102CB" w:rsidRDefault="00E5325E"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t>Overall, o</w:t>
      </w:r>
      <w:r w:rsidR="00CE675D" w:rsidRPr="007102CB">
        <w:rPr>
          <w:rFonts w:ascii="Times New Roman" w:eastAsia="Times New Roman" w:hAnsi="Times New Roman" w:cs="Times New Roman"/>
          <w:sz w:val="24"/>
          <w:szCs w:val="24"/>
          <w:lang w:eastAsia="en-GB"/>
        </w:rPr>
        <w:t>ur empirical evidence suggests that NGO recommendations in the UPR process tend to be of higher quality than those provided by States</w:t>
      </w:r>
      <w:r w:rsidR="00076DD7" w:rsidRPr="007102CB">
        <w:rPr>
          <w:rFonts w:ascii="Times New Roman" w:eastAsia="Times New Roman" w:hAnsi="Times New Roman" w:cs="Times New Roman"/>
          <w:sz w:val="24"/>
          <w:szCs w:val="24"/>
          <w:lang w:eastAsia="en-GB"/>
        </w:rPr>
        <w:t>. This is</w:t>
      </w:r>
      <w:r w:rsidR="00CE675D" w:rsidRPr="007102CB">
        <w:rPr>
          <w:rFonts w:ascii="Times New Roman" w:eastAsia="Times New Roman" w:hAnsi="Times New Roman" w:cs="Times New Roman"/>
          <w:sz w:val="24"/>
          <w:szCs w:val="24"/>
          <w:lang w:eastAsia="en-GB"/>
        </w:rPr>
        <w:t xml:space="preserve"> particularly</w:t>
      </w:r>
      <w:r w:rsidR="00076DD7" w:rsidRPr="007102CB">
        <w:rPr>
          <w:rFonts w:ascii="Times New Roman" w:eastAsia="Times New Roman" w:hAnsi="Times New Roman" w:cs="Times New Roman"/>
          <w:sz w:val="24"/>
          <w:szCs w:val="24"/>
          <w:lang w:eastAsia="en-GB"/>
        </w:rPr>
        <w:t xml:space="preserve"> true</w:t>
      </w:r>
      <w:r w:rsidR="00CE675D" w:rsidRPr="007102CB">
        <w:rPr>
          <w:rFonts w:ascii="Times New Roman" w:eastAsia="Times New Roman" w:hAnsi="Times New Roman" w:cs="Times New Roman"/>
          <w:sz w:val="24"/>
          <w:szCs w:val="24"/>
          <w:lang w:eastAsia="en-GB"/>
        </w:rPr>
        <w:t xml:space="preserve"> in terms of specificity and actionability.</w:t>
      </w:r>
      <w:r w:rsidR="00E260CE" w:rsidRPr="007102CB">
        <w:rPr>
          <w:rFonts w:ascii="Times New Roman" w:eastAsia="Times New Roman" w:hAnsi="Times New Roman" w:cs="Times New Roman"/>
          <w:sz w:val="24"/>
          <w:szCs w:val="24"/>
          <w:lang w:eastAsia="en-GB"/>
        </w:rPr>
        <w:t xml:space="preserve"> </w:t>
      </w:r>
      <w:r w:rsidR="00B61FD3" w:rsidRPr="007102CB">
        <w:rPr>
          <w:rFonts w:ascii="Times New Roman" w:eastAsia="Times New Roman" w:hAnsi="Times New Roman" w:cs="Times New Roman"/>
          <w:sz w:val="24"/>
          <w:szCs w:val="24"/>
          <w:lang w:eastAsia="en-GB"/>
        </w:rPr>
        <w:t>The quality of the NGO recommendations is stronger where there</w:t>
      </w:r>
      <w:r w:rsidR="008713F2" w:rsidRPr="007102CB">
        <w:rPr>
          <w:rFonts w:ascii="Times New Roman" w:eastAsia="Times New Roman" w:hAnsi="Times New Roman" w:cs="Times New Roman"/>
          <w:sz w:val="24"/>
          <w:szCs w:val="24"/>
          <w:lang w:eastAsia="en-GB"/>
        </w:rPr>
        <w:t xml:space="preserve"> i</w:t>
      </w:r>
      <w:r w:rsidR="00B61FD3" w:rsidRPr="007102CB">
        <w:rPr>
          <w:rFonts w:ascii="Times New Roman" w:eastAsia="Times New Roman" w:hAnsi="Times New Roman" w:cs="Times New Roman"/>
          <w:sz w:val="24"/>
          <w:szCs w:val="24"/>
          <w:lang w:eastAsia="en-GB"/>
        </w:rPr>
        <w:t xml:space="preserve">s greater </w:t>
      </w:r>
      <w:r w:rsidR="00490A5B" w:rsidRPr="007102CB">
        <w:rPr>
          <w:rFonts w:ascii="Times New Roman" w:eastAsia="Times New Roman" w:hAnsi="Times New Roman" w:cs="Times New Roman"/>
          <w:sz w:val="24"/>
          <w:szCs w:val="24"/>
          <w:lang w:eastAsia="en-GB"/>
        </w:rPr>
        <w:t xml:space="preserve">NGO mobilisation through an active national UPR </w:t>
      </w:r>
      <w:r w:rsidR="00B65578" w:rsidRPr="007102CB">
        <w:rPr>
          <w:rFonts w:ascii="Times New Roman" w:eastAsia="Times New Roman" w:hAnsi="Times New Roman" w:cs="Times New Roman"/>
          <w:sz w:val="24"/>
          <w:szCs w:val="24"/>
          <w:lang w:eastAsia="en-GB"/>
        </w:rPr>
        <w:t xml:space="preserve">coalition and a well-designed lobbying and advocacy strategy. </w:t>
      </w:r>
      <w:r w:rsidR="00E260CE" w:rsidRPr="007102CB">
        <w:rPr>
          <w:rFonts w:ascii="Times New Roman" w:eastAsia="Times New Roman" w:hAnsi="Times New Roman" w:cs="Times New Roman"/>
          <w:sz w:val="24"/>
          <w:szCs w:val="24"/>
          <w:lang w:eastAsia="en-GB"/>
        </w:rPr>
        <w:t xml:space="preserve">While the scholarly literature has been critical of state recommendations </w:t>
      </w:r>
      <w:r w:rsidR="0029122F" w:rsidRPr="007102CB">
        <w:rPr>
          <w:rFonts w:ascii="Times New Roman" w:eastAsia="Times New Roman" w:hAnsi="Times New Roman" w:cs="Times New Roman"/>
          <w:sz w:val="24"/>
          <w:szCs w:val="24"/>
          <w:lang w:eastAsia="en-GB"/>
        </w:rPr>
        <w:t>for their vagueness and generalit</w:t>
      </w:r>
      <w:r w:rsidR="00F25F6E" w:rsidRPr="007102CB">
        <w:rPr>
          <w:rFonts w:ascii="Times New Roman" w:eastAsia="Times New Roman" w:hAnsi="Times New Roman" w:cs="Times New Roman"/>
          <w:sz w:val="24"/>
          <w:szCs w:val="24"/>
          <w:lang w:eastAsia="en-GB"/>
        </w:rPr>
        <w:t>y</w:t>
      </w:r>
      <w:r w:rsidR="00D5442A">
        <w:rPr>
          <w:rFonts w:ascii="Times New Roman" w:eastAsia="Times New Roman" w:hAnsi="Times New Roman" w:cs="Times New Roman"/>
          <w:sz w:val="24"/>
          <w:szCs w:val="24"/>
          <w:lang w:eastAsia="en-GB"/>
        </w:rPr>
        <w:t>,</w:t>
      </w:r>
      <w:r w:rsidR="00D5442A">
        <w:rPr>
          <w:rStyle w:val="FootnoteReference"/>
          <w:rFonts w:ascii="Times New Roman" w:eastAsia="Times New Roman" w:hAnsi="Times New Roman" w:cs="Times New Roman"/>
          <w:sz w:val="24"/>
          <w:szCs w:val="24"/>
          <w:lang w:eastAsia="en-GB"/>
        </w:rPr>
        <w:footnoteReference w:id="93"/>
      </w:r>
      <w:r w:rsidR="00A90DD9" w:rsidRPr="007102CB">
        <w:rPr>
          <w:rFonts w:ascii="Times New Roman" w:eastAsia="Times New Roman" w:hAnsi="Times New Roman" w:cs="Times New Roman"/>
          <w:sz w:val="24"/>
          <w:szCs w:val="24"/>
          <w:lang w:eastAsia="en-GB"/>
        </w:rPr>
        <w:t xml:space="preserve"> </w:t>
      </w:r>
      <w:r w:rsidR="0029122F" w:rsidRPr="007102CB">
        <w:rPr>
          <w:rFonts w:ascii="Times New Roman" w:eastAsia="Times New Roman" w:hAnsi="Times New Roman" w:cs="Times New Roman"/>
          <w:sz w:val="24"/>
          <w:szCs w:val="24"/>
          <w:lang w:eastAsia="en-GB"/>
        </w:rPr>
        <w:t xml:space="preserve">our </w:t>
      </w:r>
      <w:r w:rsidR="004D11A7" w:rsidRPr="007102CB">
        <w:rPr>
          <w:rFonts w:ascii="Times New Roman" w:eastAsia="Times New Roman" w:hAnsi="Times New Roman" w:cs="Times New Roman"/>
          <w:sz w:val="24"/>
          <w:szCs w:val="24"/>
          <w:lang w:eastAsia="en-GB"/>
        </w:rPr>
        <w:t xml:space="preserve">analysis reveal that a significant number of NGO </w:t>
      </w:r>
      <w:r w:rsidR="001D671A" w:rsidRPr="007102CB">
        <w:rPr>
          <w:rFonts w:ascii="Times New Roman" w:eastAsia="Times New Roman" w:hAnsi="Times New Roman" w:cs="Times New Roman"/>
          <w:sz w:val="24"/>
          <w:szCs w:val="24"/>
          <w:lang w:eastAsia="en-GB"/>
        </w:rPr>
        <w:t>recommendations</w:t>
      </w:r>
      <w:r w:rsidR="006C08D8" w:rsidRPr="007102CB">
        <w:rPr>
          <w:rFonts w:ascii="Times New Roman" w:eastAsia="Times New Roman" w:hAnsi="Times New Roman" w:cs="Times New Roman"/>
          <w:sz w:val="24"/>
          <w:szCs w:val="24"/>
          <w:lang w:eastAsia="en-GB"/>
        </w:rPr>
        <w:t xml:space="preserve"> also tend to be vague and generic. </w:t>
      </w:r>
    </w:p>
    <w:p w14:paraId="67E18EE6" w14:textId="26E60555" w:rsidR="008372A8" w:rsidRPr="007102CB" w:rsidRDefault="00076DD7" w:rsidP="00770443">
      <w:pPr>
        <w:spacing w:before="100" w:beforeAutospacing="1" w:after="100" w:afterAutospacing="1" w:line="276" w:lineRule="auto"/>
        <w:jc w:val="both"/>
        <w:rPr>
          <w:rFonts w:ascii="Times New Roman" w:eastAsia="Times New Roman" w:hAnsi="Times New Roman" w:cs="Times New Roman"/>
          <w:sz w:val="24"/>
          <w:szCs w:val="24"/>
          <w:lang w:eastAsia="en-GB"/>
        </w:rPr>
      </w:pPr>
      <w:r w:rsidRPr="007102CB">
        <w:rPr>
          <w:rFonts w:ascii="Times New Roman" w:eastAsia="Times New Roman" w:hAnsi="Times New Roman" w:cs="Times New Roman"/>
          <w:sz w:val="24"/>
          <w:szCs w:val="24"/>
          <w:lang w:eastAsia="en-GB"/>
        </w:rPr>
        <w:lastRenderedPageBreak/>
        <w:t>Th</w:t>
      </w:r>
      <w:r w:rsidR="002D77E6" w:rsidRPr="007102CB">
        <w:rPr>
          <w:rFonts w:ascii="Times New Roman" w:eastAsia="Times New Roman" w:hAnsi="Times New Roman" w:cs="Times New Roman"/>
          <w:sz w:val="24"/>
          <w:szCs w:val="24"/>
          <w:lang w:eastAsia="en-GB"/>
        </w:rPr>
        <w:t>e</w:t>
      </w:r>
      <w:r w:rsidRPr="007102CB">
        <w:rPr>
          <w:rFonts w:ascii="Times New Roman" w:eastAsia="Times New Roman" w:hAnsi="Times New Roman" w:cs="Times New Roman"/>
          <w:sz w:val="24"/>
          <w:szCs w:val="24"/>
          <w:lang w:eastAsia="en-GB"/>
        </w:rPr>
        <w:t xml:space="preserve"> </w:t>
      </w:r>
      <w:r w:rsidR="0000212D" w:rsidRPr="007102CB">
        <w:rPr>
          <w:rFonts w:ascii="Times New Roman" w:eastAsia="Times New Roman" w:hAnsi="Times New Roman" w:cs="Times New Roman"/>
          <w:sz w:val="24"/>
          <w:szCs w:val="24"/>
          <w:lang w:eastAsia="en-GB"/>
        </w:rPr>
        <w:t>higher</w:t>
      </w:r>
      <w:r w:rsidR="002D77E6" w:rsidRPr="007102CB">
        <w:rPr>
          <w:rFonts w:ascii="Times New Roman" w:eastAsia="Times New Roman" w:hAnsi="Times New Roman" w:cs="Times New Roman"/>
          <w:sz w:val="24"/>
          <w:szCs w:val="24"/>
          <w:lang w:eastAsia="en-GB"/>
        </w:rPr>
        <w:t xml:space="preserve"> quality of </w:t>
      </w:r>
      <w:r w:rsidR="0000212D" w:rsidRPr="007102CB">
        <w:rPr>
          <w:rFonts w:ascii="Times New Roman" w:eastAsia="Times New Roman" w:hAnsi="Times New Roman" w:cs="Times New Roman"/>
          <w:sz w:val="24"/>
          <w:szCs w:val="24"/>
          <w:lang w:eastAsia="en-GB"/>
        </w:rPr>
        <w:t xml:space="preserve">NGO </w:t>
      </w:r>
      <w:r w:rsidR="002D77E6" w:rsidRPr="007102CB">
        <w:rPr>
          <w:rFonts w:ascii="Times New Roman" w:eastAsia="Times New Roman" w:hAnsi="Times New Roman" w:cs="Times New Roman"/>
          <w:sz w:val="24"/>
          <w:szCs w:val="24"/>
          <w:lang w:eastAsia="en-GB"/>
        </w:rPr>
        <w:t xml:space="preserve">recommendations </w:t>
      </w:r>
      <w:r w:rsidRPr="007102CB">
        <w:rPr>
          <w:rFonts w:ascii="Times New Roman" w:eastAsia="Times New Roman" w:hAnsi="Times New Roman" w:cs="Times New Roman"/>
          <w:sz w:val="24"/>
          <w:szCs w:val="24"/>
          <w:lang w:eastAsia="en-GB"/>
        </w:rPr>
        <w:t>can be attributed to several key factors:</w:t>
      </w:r>
      <w:r w:rsidR="00C23C08" w:rsidRPr="007102CB">
        <w:rPr>
          <w:rFonts w:ascii="Times New Roman" w:eastAsia="Times New Roman" w:hAnsi="Times New Roman" w:cs="Times New Roman"/>
          <w:sz w:val="24"/>
          <w:szCs w:val="24"/>
          <w:lang w:eastAsia="en-GB"/>
        </w:rPr>
        <w:t xml:space="preserve"> (</w:t>
      </w:r>
      <w:proofErr w:type="spellStart"/>
      <w:r w:rsidR="00C23C08" w:rsidRPr="007102CB">
        <w:rPr>
          <w:rFonts w:ascii="Times New Roman" w:eastAsia="Times New Roman" w:hAnsi="Times New Roman" w:cs="Times New Roman"/>
          <w:sz w:val="24"/>
          <w:szCs w:val="24"/>
          <w:lang w:eastAsia="en-GB"/>
        </w:rPr>
        <w:t>i</w:t>
      </w:r>
      <w:proofErr w:type="spellEnd"/>
      <w:r w:rsidR="00C23C08" w:rsidRPr="007102CB">
        <w:rPr>
          <w:rFonts w:ascii="Times New Roman" w:eastAsia="Times New Roman" w:hAnsi="Times New Roman" w:cs="Times New Roman"/>
          <w:sz w:val="24"/>
          <w:szCs w:val="24"/>
          <w:lang w:eastAsia="en-GB"/>
        </w:rPr>
        <w:t xml:space="preserve">) </w:t>
      </w:r>
      <w:r w:rsidR="00243EA6" w:rsidRPr="007102CB">
        <w:rPr>
          <w:rFonts w:ascii="Times New Roman" w:eastAsia="Times New Roman" w:hAnsi="Times New Roman" w:cs="Times New Roman"/>
          <w:sz w:val="24"/>
          <w:szCs w:val="24"/>
          <w:lang w:eastAsia="en-GB"/>
        </w:rPr>
        <w:t>Independence -</w:t>
      </w:r>
      <w:r w:rsidRPr="007102CB">
        <w:rPr>
          <w:rFonts w:ascii="Times New Roman" w:eastAsia="Times New Roman" w:hAnsi="Times New Roman" w:cs="Times New Roman"/>
          <w:sz w:val="24"/>
          <w:szCs w:val="24"/>
          <w:lang w:eastAsia="en-GB"/>
        </w:rPr>
        <w:t xml:space="preserve"> NGOs are</w:t>
      </w:r>
      <w:r w:rsidR="00243EA6" w:rsidRPr="007102CB">
        <w:rPr>
          <w:rFonts w:ascii="Times New Roman" w:eastAsia="Times New Roman" w:hAnsi="Times New Roman" w:cs="Times New Roman"/>
          <w:sz w:val="24"/>
          <w:szCs w:val="24"/>
          <w:lang w:eastAsia="en-GB"/>
        </w:rPr>
        <w:t xml:space="preserve">, in general, </w:t>
      </w:r>
      <w:r w:rsidR="00E645CA" w:rsidRPr="007102CB">
        <w:rPr>
          <w:rFonts w:ascii="Times New Roman" w:eastAsia="Times New Roman" w:hAnsi="Times New Roman" w:cs="Times New Roman"/>
          <w:sz w:val="24"/>
          <w:szCs w:val="24"/>
          <w:lang w:eastAsia="en-GB"/>
        </w:rPr>
        <w:t xml:space="preserve">independent and </w:t>
      </w:r>
      <w:r w:rsidRPr="007102CB">
        <w:rPr>
          <w:rFonts w:ascii="Times New Roman" w:eastAsia="Times New Roman" w:hAnsi="Times New Roman" w:cs="Times New Roman"/>
          <w:sz w:val="24"/>
          <w:szCs w:val="24"/>
          <w:lang w:eastAsia="en-GB"/>
        </w:rPr>
        <w:t>not constrained by governmental considerations</w:t>
      </w:r>
      <w:r w:rsidR="00E645CA" w:rsidRPr="007102CB">
        <w:rPr>
          <w:rFonts w:ascii="Times New Roman" w:eastAsia="Times New Roman" w:hAnsi="Times New Roman" w:cs="Times New Roman"/>
          <w:sz w:val="24"/>
          <w:szCs w:val="24"/>
          <w:lang w:eastAsia="en-GB"/>
        </w:rPr>
        <w:t xml:space="preserve">. They </w:t>
      </w:r>
      <w:r w:rsidRPr="007102CB">
        <w:rPr>
          <w:rFonts w:ascii="Times New Roman" w:eastAsia="Times New Roman" w:hAnsi="Times New Roman" w:cs="Times New Roman"/>
          <w:sz w:val="24"/>
          <w:szCs w:val="24"/>
          <w:lang w:eastAsia="en-GB"/>
        </w:rPr>
        <w:t>can offer more forthright critiques and suggestions</w:t>
      </w:r>
      <w:r w:rsidR="00C23C08" w:rsidRPr="007102CB">
        <w:rPr>
          <w:rFonts w:ascii="Times New Roman" w:eastAsia="Times New Roman" w:hAnsi="Times New Roman" w:cs="Times New Roman"/>
          <w:sz w:val="24"/>
          <w:szCs w:val="24"/>
          <w:lang w:eastAsia="en-GB"/>
        </w:rPr>
        <w:t>; (ii)</w:t>
      </w:r>
      <w:r w:rsidR="00A415BA" w:rsidRPr="007102CB">
        <w:rPr>
          <w:rFonts w:ascii="Times New Roman" w:eastAsia="Times New Roman" w:hAnsi="Times New Roman" w:cs="Times New Roman"/>
          <w:sz w:val="24"/>
          <w:szCs w:val="24"/>
          <w:lang w:eastAsia="en-GB"/>
        </w:rPr>
        <w:t xml:space="preserve"> </w:t>
      </w:r>
      <w:r w:rsidR="00AA605A" w:rsidRPr="007102CB">
        <w:rPr>
          <w:rFonts w:ascii="Times New Roman" w:eastAsia="Times New Roman" w:hAnsi="Times New Roman" w:cs="Times New Roman"/>
          <w:sz w:val="24"/>
          <w:szCs w:val="24"/>
          <w:lang w:eastAsia="en-GB"/>
        </w:rPr>
        <w:t>Specialisation - m</w:t>
      </w:r>
      <w:r w:rsidRPr="007102CB">
        <w:rPr>
          <w:rFonts w:ascii="Times New Roman" w:eastAsia="Times New Roman" w:hAnsi="Times New Roman" w:cs="Times New Roman"/>
          <w:sz w:val="24"/>
          <w:szCs w:val="24"/>
          <w:lang w:eastAsia="en-GB"/>
        </w:rPr>
        <w:t>any NGOs focus on specific human rights issues, allowing them to provide more detailed and informed recommendations within their areas of expertise</w:t>
      </w:r>
      <w:r w:rsidR="00AA605A" w:rsidRPr="007102CB">
        <w:rPr>
          <w:rFonts w:ascii="Times New Roman" w:eastAsia="Times New Roman" w:hAnsi="Times New Roman" w:cs="Times New Roman"/>
          <w:sz w:val="24"/>
          <w:szCs w:val="24"/>
          <w:lang w:eastAsia="en-GB"/>
        </w:rPr>
        <w:t xml:space="preserve">; (iii) </w:t>
      </w:r>
      <w:r w:rsidRPr="007102CB">
        <w:rPr>
          <w:rFonts w:ascii="Times New Roman" w:eastAsia="Times New Roman" w:hAnsi="Times New Roman" w:cs="Times New Roman"/>
          <w:sz w:val="24"/>
          <w:szCs w:val="24"/>
          <w:lang w:eastAsia="en-GB"/>
        </w:rPr>
        <w:t>Ground-level perspective</w:t>
      </w:r>
      <w:r w:rsidR="00AA605A" w:rsidRPr="007102CB">
        <w:rPr>
          <w:rFonts w:ascii="Times New Roman" w:eastAsia="Times New Roman" w:hAnsi="Times New Roman" w:cs="Times New Roman"/>
          <w:sz w:val="24"/>
          <w:szCs w:val="24"/>
          <w:lang w:eastAsia="en-GB"/>
        </w:rPr>
        <w:t xml:space="preserve"> - </w:t>
      </w:r>
      <w:r w:rsidRPr="007102CB">
        <w:rPr>
          <w:rFonts w:ascii="Times New Roman" w:eastAsia="Times New Roman" w:hAnsi="Times New Roman" w:cs="Times New Roman"/>
          <w:sz w:val="24"/>
          <w:szCs w:val="24"/>
          <w:lang w:eastAsia="en-GB"/>
        </w:rPr>
        <w:t>NGOs often work closely with affected communities, giving them valuable insights into practical challenges and potential solutions that may not be as apparent to state actors</w:t>
      </w:r>
      <w:r w:rsidR="00ED5C48" w:rsidRPr="007102CB">
        <w:rPr>
          <w:rFonts w:ascii="Times New Roman" w:eastAsia="Times New Roman" w:hAnsi="Times New Roman" w:cs="Times New Roman"/>
          <w:sz w:val="24"/>
          <w:szCs w:val="24"/>
          <w:lang w:eastAsia="en-GB"/>
        </w:rPr>
        <w:t xml:space="preserve">; (iv) </w:t>
      </w:r>
      <w:r w:rsidRPr="007102CB">
        <w:rPr>
          <w:rFonts w:ascii="Times New Roman" w:eastAsia="Times New Roman" w:hAnsi="Times New Roman" w:cs="Times New Roman"/>
          <w:sz w:val="24"/>
          <w:szCs w:val="24"/>
          <w:lang w:eastAsia="en-GB"/>
        </w:rPr>
        <w:t>Lack of diplomatic constraints</w:t>
      </w:r>
      <w:r w:rsidR="00ED5C48" w:rsidRPr="007102CB">
        <w:rPr>
          <w:rFonts w:ascii="Times New Roman" w:eastAsia="Times New Roman" w:hAnsi="Times New Roman" w:cs="Times New Roman"/>
          <w:sz w:val="24"/>
          <w:szCs w:val="24"/>
          <w:lang w:eastAsia="en-GB"/>
        </w:rPr>
        <w:t xml:space="preserve"> - </w:t>
      </w:r>
      <w:r w:rsidRPr="007102CB">
        <w:rPr>
          <w:rFonts w:ascii="Times New Roman" w:eastAsia="Times New Roman" w:hAnsi="Times New Roman" w:cs="Times New Roman"/>
          <w:sz w:val="24"/>
          <w:szCs w:val="24"/>
          <w:lang w:eastAsia="en-GB"/>
        </w:rPr>
        <w:t>Unlike States, which may temper their recommendations due to political considerations, NGOs can be more direct in addressing human rights concerns.</w:t>
      </w:r>
    </w:p>
    <w:p w14:paraId="32C9EC1F" w14:textId="7F7F7011" w:rsidR="0028153B" w:rsidRPr="007102CB" w:rsidRDefault="006F1D61" w:rsidP="00770443">
      <w:pPr>
        <w:spacing w:before="100" w:beforeAutospacing="1" w:after="100" w:afterAutospacing="1" w:line="276" w:lineRule="auto"/>
        <w:jc w:val="both"/>
        <w:rPr>
          <w:rFonts w:ascii="Times New Roman" w:hAnsi="Times New Roman" w:cs="Times New Roman"/>
          <w:sz w:val="24"/>
          <w:szCs w:val="24"/>
        </w:rPr>
        <w:sectPr w:rsidR="0028153B" w:rsidRPr="007102CB" w:rsidSect="00F558F8">
          <w:headerReference w:type="default" r:id="rId14"/>
          <w:footerReference w:type="default" r:id="rId15"/>
          <w:pgSz w:w="11906" w:h="16838"/>
          <w:pgMar w:top="1440" w:right="1440" w:bottom="1440" w:left="1440" w:header="708" w:footer="708" w:gutter="0"/>
          <w:cols w:space="708"/>
          <w:docGrid w:linePitch="360"/>
        </w:sectPr>
      </w:pPr>
      <w:r w:rsidRPr="007102CB">
        <w:rPr>
          <w:rFonts w:ascii="Times New Roman" w:hAnsi="Times New Roman" w:cs="Times New Roman"/>
          <w:sz w:val="24"/>
          <w:szCs w:val="24"/>
        </w:rPr>
        <w:t xml:space="preserve">While </w:t>
      </w:r>
      <w:r w:rsidR="00232DCA" w:rsidRPr="007102CB">
        <w:rPr>
          <w:rFonts w:ascii="Times New Roman" w:hAnsi="Times New Roman" w:cs="Times New Roman"/>
          <w:sz w:val="24"/>
          <w:szCs w:val="24"/>
        </w:rPr>
        <w:t>NGOs may have placed more o</w:t>
      </w:r>
      <w:r w:rsidR="00B62247" w:rsidRPr="007102CB">
        <w:rPr>
          <w:rFonts w:ascii="Times New Roman" w:hAnsi="Times New Roman" w:cs="Times New Roman"/>
          <w:sz w:val="24"/>
          <w:szCs w:val="24"/>
        </w:rPr>
        <w:t>r</w:t>
      </w:r>
      <w:r w:rsidR="00232DCA" w:rsidRPr="007102CB">
        <w:rPr>
          <w:rFonts w:ascii="Times New Roman" w:hAnsi="Times New Roman" w:cs="Times New Roman"/>
          <w:sz w:val="24"/>
          <w:szCs w:val="24"/>
        </w:rPr>
        <w:t xml:space="preserve"> less emphases on certain thematic issues, </w:t>
      </w:r>
      <w:r w:rsidR="004F6E4B" w:rsidRPr="007102CB">
        <w:rPr>
          <w:rFonts w:ascii="Times New Roman" w:hAnsi="Times New Roman" w:cs="Times New Roman"/>
          <w:sz w:val="24"/>
          <w:szCs w:val="24"/>
        </w:rPr>
        <w:t xml:space="preserve">the existence of an alignment </w:t>
      </w:r>
      <w:r w:rsidR="00D40015" w:rsidRPr="007102CB">
        <w:rPr>
          <w:rFonts w:ascii="Times New Roman" w:hAnsi="Times New Roman" w:cs="Times New Roman"/>
          <w:sz w:val="24"/>
          <w:szCs w:val="24"/>
        </w:rPr>
        <w:t>for</w:t>
      </w:r>
      <w:r w:rsidR="004F6E4B" w:rsidRPr="007102CB">
        <w:rPr>
          <w:rFonts w:ascii="Times New Roman" w:hAnsi="Times New Roman" w:cs="Times New Roman"/>
          <w:sz w:val="24"/>
          <w:szCs w:val="24"/>
        </w:rPr>
        <w:t xml:space="preserve"> a broad list of thematic issues</w:t>
      </w:r>
      <w:r w:rsidR="00D40015" w:rsidRPr="007102CB">
        <w:rPr>
          <w:rFonts w:ascii="Times New Roman" w:hAnsi="Times New Roman" w:cs="Times New Roman"/>
          <w:sz w:val="24"/>
          <w:szCs w:val="24"/>
        </w:rPr>
        <w:t xml:space="preserve"> raised across cycles </w:t>
      </w:r>
      <w:r w:rsidR="0028153B" w:rsidRPr="007102CB">
        <w:rPr>
          <w:rFonts w:ascii="Times New Roman" w:hAnsi="Times New Roman" w:cs="Times New Roman"/>
          <w:sz w:val="24"/>
          <w:szCs w:val="24"/>
        </w:rPr>
        <w:t xml:space="preserve">suggests that the UPR process may be fostering a convergence of priorities between States and NGOs over time. </w:t>
      </w:r>
      <w:r w:rsidR="006E6840" w:rsidRPr="007102CB">
        <w:rPr>
          <w:rFonts w:ascii="Times New Roman" w:hAnsi="Times New Roman" w:cs="Times New Roman"/>
          <w:sz w:val="24"/>
          <w:szCs w:val="24"/>
        </w:rPr>
        <w:t>The observable differences in language and specificity between their recommendations</w:t>
      </w:r>
      <w:r w:rsidR="001B4BC6" w:rsidRPr="007102CB">
        <w:rPr>
          <w:rFonts w:ascii="Times New Roman" w:hAnsi="Times New Roman" w:cs="Times New Roman"/>
          <w:sz w:val="24"/>
          <w:szCs w:val="24"/>
        </w:rPr>
        <w:t xml:space="preserve"> underscores t</w:t>
      </w:r>
      <w:r w:rsidR="006E6840" w:rsidRPr="007102CB">
        <w:rPr>
          <w:rFonts w:ascii="Times New Roman" w:hAnsi="Times New Roman" w:cs="Times New Roman"/>
          <w:sz w:val="24"/>
          <w:szCs w:val="24"/>
        </w:rPr>
        <w:t>he distinct roles of states and NGOs in the UPR mechanism</w:t>
      </w:r>
      <w:r w:rsidR="001B4BC6" w:rsidRPr="007102CB">
        <w:rPr>
          <w:rFonts w:ascii="Times New Roman" w:hAnsi="Times New Roman" w:cs="Times New Roman"/>
          <w:sz w:val="24"/>
          <w:szCs w:val="24"/>
        </w:rPr>
        <w:t xml:space="preserve">. </w:t>
      </w:r>
      <w:r w:rsidR="00C02B0B" w:rsidRPr="007102CB">
        <w:rPr>
          <w:rFonts w:ascii="Times New Roman" w:hAnsi="Times New Roman" w:cs="Times New Roman"/>
          <w:sz w:val="24"/>
          <w:szCs w:val="24"/>
        </w:rPr>
        <w:t>These findings reveal key implications for the UPR process. Areas where States and NGOs align in their priorities suggest greater potential for progress. Conversely, divergent areas will likely require more dialogue and engagement to bridge the gap between</w:t>
      </w:r>
      <w:r w:rsidR="00A80361" w:rsidRPr="007102CB">
        <w:rPr>
          <w:rFonts w:ascii="Times New Roman" w:hAnsi="Times New Roman" w:cs="Times New Roman"/>
          <w:sz w:val="24"/>
          <w:szCs w:val="24"/>
        </w:rPr>
        <w:t xml:space="preserve"> the</w:t>
      </w:r>
      <w:r w:rsidR="00777573" w:rsidRPr="007102CB">
        <w:rPr>
          <w:rFonts w:ascii="Times New Roman" w:hAnsi="Times New Roman" w:cs="Times New Roman"/>
          <w:sz w:val="24"/>
          <w:szCs w:val="24"/>
        </w:rPr>
        <w:t xml:space="preserve"> views of</w:t>
      </w:r>
      <w:r w:rsidR="00C02B0B" w:rsidRPr="007102CB">
        <w:rPr>
          <w:rFonts w:ascii="Times New Roman" w:hAnsi="Times New Roman" w:cs="Times New Roman"/>
          <w:sz w:val="24"/>
          <w:szCs w:val="24"/>
        </w:rPr>
        <w:t xml:space="preserve"> State and NGO</w:t>
      </w:r>
      <w:r w:rsidR="00777573" w:rsidRPr="007102CB">
        <w:rPr>
          <w:rFonts w:ascii="Times New Roman" w:hAnsi="Times New Roman" w:cs="Times New Roman"/>
          <w:sz w:val="24"/>
          <w:szCs w:val="24"/>
        </w:rPr>
        <w:t xml:space="preserve">s on particular human rights issues. </w:t>
      </w:r>
      <w:r w:rsidR="008E1368" w:rsidRPr="007102CB">
        <w:rPr>
          <w:rFonts w:ascii="Times New Roman" w:hAnsi="Times New Roman" w:cs="Times New Roman"/>
          <w:sz w:val="24"/>
          <w:szCs w:val="24"/>
        </w:rPr>
        <w:t xml:space="preserve">Understanding these areas of </w:t>
      </w:r>
      <w:r w:rsidR="00283029" w:rsidRPr="007102CB">
        <w:rPr>
          <w:rFonts w:ascii="Times New Roman" w:hAnsi="Times New Roman" w:cs="Times New Roman"/>
          <w:sz w:val="24"/>
          <w:szCs w:val="24"/>
        </w:rPr>
        <w:t>convergence and divergence between State and NGO recommendations in the UPR process and the</w:t>
      </w:r>
      <w:r w:rsidR="005756D0" w:rsidRPr="007102CB">
        <w:rPr>
          <w:rFonts w:ascii="Times New Roman" w:hAnsi="Times New Roman" w:cs="Times New Roman"/>
          <w:sz w:val="24"/>
          <w:szCs w:val="24"/>
        </w:rPr>
        <w:t xml:space="preserve"> underlying</w:t>
      </w:r>
      <w:r w:rsidR="00283029" w:rsidRPr="007102CB">
        <w:rPr>
          <w:rFonts w:ascii="Times New Roman" w:hAnsi="Times New Roman" w:cs="Times New Roman"/>
          <w:sz w:val="24"/>
          <w:szCs w:val="24"/>
        </w:rPr>
        <w:t xml:space="preserve"> </w:t>
      </w:r>
      <w:r w:rsidR="00B26075" w:rsidRPr="007102CB">
        <w:rPr>
          <w:rFonts w:ascii="Times New Roman" w:hAnsi="Times New Roman" w:cs="Times New Roman"/>
          <w:sz w:val="24"/>
          <w:szCs w:val="24"/>
        </w:rPr>
        <w:t xml:space="preserve">contributing </w:t>
      </w:r>
      <w:r w:rsidR="00283029" w:rsidRPr="007102CB">
        <w:rPr>
          <w:rFonts w:ascii="Times New Roman" w:hAnsi="Times New Roman" w:cs="Times New Roman"/>
          <w:sz w:val="24"/>
          <w:szCs w:val="24"/>
        </w:rPr>
        <w:t xml:space="preserve">reasons </w:t>
      </w:r>
      <w:r w:rsidR="00B26075" w:rsidRPr="007102CB">
        <w:rPr>
          <w:rFonts w:ascii="Times New Roman" w:hAnsi="Times New Roman" w:cs="Times New Roman"/>
          <w:sz w:val="24"/>
          <w:szCs w:val="24"/>
        </w:rPr>
        <w:t xml:space="preserve">can help to ultimately enhance the impact of the UPR on domestic human rights. </w:t>
      </w:r>
      <w:r w:rsidR="005756D0" w:rsidRPr="007102CB">
        <w:rPr>
          <w:rFonts w:ascii="Times New Roman" w:hAnsi="Times New Roman" w:cs="Times New Roman"/>
          <w:sz w:val="24"/>
          <w:szCs w:val="24"/>
        </w:rPr>
        <w:t xml:space="preserve"> </w:t>
      </w:r>
      <w:r w:rsidR="0028153B" w:rsidRPr="007102CB">
        <w:rPr>
          <w:rFonts w:ascii="Times New Roman" w:hAnsi="Times New Roman" w:cs="Times New Roman"/>
          <w:sz w:val="24"/>
          <w:szCs w:val="24"/>
        </w:rPr>
        <w:t>Future research could examin</w:t>
      </w:r>
      <w:r w:rsidR="00D817C4" w:rsidRPr="007102CB">
        <w:rPr>
          <w:rFonts w:ascii="Times New Roman" w:hAnsi="Times New Roman" w:cs="Times New Roman"/>
          <w:sz w:val="24"/>
          <w:szCs w:val="24"/>
        </w:rPr>
        <w:t>e</w:t>
      </w:r>
      <w:r w:rsidR="0028153B" w:rsidRPr="007102CB">
        <w:rPr>
          <w:rFonts w:ascii="Times New Roman" w:hAnsi="Times New Roman" w:cs="Times New Roman"/>
          <w:sz w:val="24"/>
          <w:szCs w:val="24"/>
        </w:rPr>
        <w:t xml:space="preserve"> the implementation rates of recommendations from areas of high alignment versus low alignment </w:t>
      </w:r>
      <w:r w:rsidR="00F6396D" w:rsidRPr="007102CB">
        <w:rPr>
          <w:rFonts w:ascii="Times New Roman" w:hAnsi="Times New Roman" w:cs="Times New Roman"/>
          <w:sz w:val="24"/>
          <w:szCs w:val="24"/>
        </w:rPr>
        <w:t>and</w:t>
      </w:r>
      <w:r w:rsidR="000264BD" w:rsidRPr="007102CB">
        <w:rPr>
          <w:rFonts w:ascii="Times New Roman" w:hAnsi="Times New Roman" w:cs="Times New Roman"/>
          <w:sz w:val="24"/>
          <w:szCs w:val="24"/>
        </w:rPr>
        <w:t xml:space="preserve"> </w:t>
      </w:r>
      <w:r w:rsidR="00886057" w:rsidRPr="007102CB">
        <w:rPr>
          <w:rFonts w:ascii="Times New Roman" w:hAnsi="Times New Roman" w:cs="Times New Roman"/>
          <w:sz w:val="24"/>
          <w:szCs w:val="24"/>
        </w:rPr>
        <w:t xml:space="preserve">explore any alignment or misalignment between </w:t>
      </w:r>
      <w:r w:rsidR="00CE4916" w:rsidRPr="007102CB">
        <w:rPr>
          <w:rFonts w:ascii="Times New Roman" w:hAnsi="Times New Roman" w:cs="Times New Roman"/>
          <w:sz w:val="24"/>
          <w:szCs w:val="24"/>
        </w:rPr>
        <w:t xml:space="preserve">UPR recommendations by domestic vs international NGOs. </w:t>
      </w:r>
      <w:r w:rsidR="007E4162" w:rsidRPr="007102CB">
        <w:rPr>
          <w:rFonts w:ascii="Times New Roman" w:hAnsi="Times New Roman" w:cs="Times New Roman"/>
          <w:sz w:val="24"/>
          <w:szCs w:val="24"/>
        </w:rPr>
        <w:t xml:space="preserve"> </w:t>
      </w:r>
      <w:r w:rsidR="00396EF7" w:rsidRPr="007102CB">
        <w:rPr>
          <w:rFonts w:ascii="Times New Roman" w:hAnsi="Times New Roman" w:cs="Times New Roman"/>
          <w:sz w:val="24"/>
          <w:szCs w:val="24"/>
        </w:rPr>
        <w:t xml:space="preserve">There is also need for some empirical evidence to determine whether the quality of </w:t>
      </w:r>
      <w:r w:rsidR="00F6396D" w:rsidRPr="007102CB">
        <w:rPr>
          <w:rFonts w:ascii="Times New Roman" w:hAnsi="Times New Roman" w:cs="Times New Roman"/>
          <w:sz w:val="24"/>
          <w:szCs w:val="24"/>
        </w:rPr>
        <w:t>recommendations has</w:t>
      </w:r>
      <w:r w:rsidR="000F340E" w:rsidRPr="007102CB">
        <w:rPr>
          <w:rFonts w:ascii="Times New Roman" w:hAnsi="Times New Roman" w:cs="Times New Roman"/>
          <w:sz w:val="24"/>
          <w:szCs w:val="24"/>
        </w:rPr>
        <w:t xml:space="preserve"> a significant impact on levels of implementation. </w:t>
      </w:r>
    </w:p>
    <w:p w14:paraId="4ED63838" w14:textId="41E4D5A7" w:rsidR="009E1F84" w:rsidRPr="007102CB" w:rsidRDefault="005A10D0" w:rsidP="00770443">
      <w:pPr>
        <w:spacing w:before="100" w:beforeAutospacing="1" w:after="100" w:afterAutospacing="1" w:line="276" w:lineRule="auto"/>
        <w:ind w:left="-567" w:firstLine="283"/>
        <w:rPr>
          <w:rFonts w:ascii="Times New Roman" w:eastAsia="Times New Roman" w:hAnsi="Times New Roman" w:cs="Times New Roman"/>
          <w:sz w:val="24"/>
          <w:szCs w:val="24"/>
          <w:lang w:eastAsia="en-GB"/>
        </w:rPr>
      </w:pPr>
      <w:r w:rsidRPr="007102CB">
        <w:rPr>
          <w:rFonts w:ascii="Times New Roman" w:eastAsia="Times New Roman" w:hAnsi="Times New Roman" w:cs="Times New Roman"/>
          <w:noProof/>
          <w:sz w:val="24"/>
          <w:szCs w:val="24"/>
          <w:lang w:eastAsia="en-GB"/>
        </w:rPr>
        <w:lastRenderedPageBreak/>
        <w:drawing>
          <wp:inline distT="0" distB="0" distL="0" distR="0" wp14:anchorId="1F43CF77" wp14:editId="48EA7EA9">
            <wp:extent cx="3381375" cy="6286500"/>
            <wp:effectExtent l="0" t="0" r="9525" b="0"/>
            <wp:docPr id="8" name="Picture 8"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a number of peopl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81375" cy="6286500"/>
                    </a:xfrm>
                    <a:prstGeom prst="rect">
                      <a:avLst/>
                    </a:prstGeom>
                    <a:noFill/>
                    <a:ln>
                      <a:noFill/>
                    </a:ln>
                  </pic:spPr>
                </pic:pic>
              </a:graphicData>
            </a:graphic>
          </wp:inline>
        </w:drawing>
      </w:r>
      <w:r w:rsidR="00747CF4" w:rsidRPr="007102CB">
        <w:rPr>
          <w:rFonts w:ascii="Times New Roman" w:eastAsia="Times New Roman" w:hAnsi="Times New Roman" w:cs="Times New Roman"/>
          <w:sz w:val="24"/>
          <w:szCs w:val="24"/>
          <w:lang w:eastAsia="en-GB"/>
        </w:rPr>
        <w:t xml:space="preserve"> </w:t>
      </w:r>
      <w:r w:rsidR="00747CF4" w:rsidRPr="007102CB">
        <w:rPr>
          <w:rFonts w:ascii="Times New Roman" w:eastAsia="Times New Roman" w:hAnsi="Times New Roman" w:cs="Times New Roman"/>
          <w:noProof/>
          <w:sz w:val="24"/>
          <w:szCs w:val="24"/>
          <w:lang w:eastAsia="en-GB"/>
        </w:rPr>
        <w:drawing>
          <wp:inline distT="0" distB="0" distL="0" distR="0" wp14:anchorId="1FD5D2BA" wp14:editId="0ECB52F3">
            <wp:extent cx="2717800" cy="6283960"/>
            <wp:effectExtent l="0" t="0" r="6350" b="2540"/>
            <wp:docPr id="1704977294" name="Picture 5" descr="A graph of a number of people righ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77294" name="Picture 5" descr="A graph of a number of people rights&#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7800" cy="6283960"/>
                    </a:xfrm>
                    <a:prstGeom prst="rect">
                      <a:avLst/>
                    </a:prstGeom>
                    <a:noFill/>
                    <a:ln>
                      <a:noFill/>
                    </a:ln>
                  </pic:spPr>
                </pic:pic>
              </a:graphicData>
            </a:graphic>
          </wp:inline>
        </w:drawing>
      </w:r>
      <w:r w:rsidR="00960664" w:rsidRPr="007102CB">
        <w:rPr>
          <w:rFonts w:ascii="Times New Roman" w:eastAsia="Times New Roman" w:hAnsi="Times New Roman" w:cs="Times New Roman"/>
          <w:sz w:val="24"/>
          <w:szCs w:val="24"/>
          <w:lang w:eastAsia="en-GB"/>
        </w:rPr>
        <w:t xml:space="preserve"> </w:t>
      </w:r>
      <w:r w:rsidR="00960664" w:rsidRPr="007102CB">
        <w:rPr>
          <w:rFonts w:ascii="Times New Roman" w:eastAsia="Times New Roman" w:hAnsi="Times New Roman" w:cs="Times New Roman"/>
          <w:noProof/>
          <w:sz w:val="24"/>
          <w:szCs w:val="24"/>
          <w:lang w:eastAsia="en-GB"/>
        </w:rPr>
        <w:drawing>
          <wp:inline distT="0" distB="0" distL="0" distR="0" wp14:anchorId="2B78893C" wp14:editId="70DB2C1A">
            <wp:extent cx="3181350" cy="6274435"/>
            <wp:effectExtent l="0" t="0" r="0" b="0"/>
            <wp:docPr id="1" name="Picture 1" descr="A graph of different types of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different types of tabl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1350" cy="6274435"/>
                    </a:xfrm>
                    <a:prstGeom prst="rect">
                      <a:avLst/>
                    </a:prstGeom>
                    <a:noFill/>
                    <a:ln>
                      <a:noFill/>
                    </a:ln>
                  </pic:spPr>
                </pic:pic>
              </a:graphicData>
            </a:graphic>
          </wp:inline>
        </w:drawing>
      </w:r>
    </w:p>
    <w:p w14:paraId="130596CF" w14:textId="631603B0" w:rsidR="00C65FF5" w:rsidRPr="007102CB" w:rsidRDefault="005D66CD" w:rsidP="00770443">
      <w:pPr>
        <w:spacing w:before="100" w:beforeAutospacing="1" w:after="100" w:afterAutospacing="1" w:line="276" w:lineRule="auto"/>
        <w:ind w:left="-567" w:firstLine="283"/>
        <w:rPr>
          <w:rFonts w:ascii="Times New Roman" w:eastAsia="Times New Roman" w:hAnsi="Times New Roman" w:cs="Times New Roman"/>
          <w:sz w:val="24"/>
          <w:szCs w:val="24"/>
          <w:lang w:eastAsia="en-GB"/>
        </w:rPr>
      </w:pPr>
      <w:r w:rsidRPr="007102CB">
        <w:rPr>
          <w:rFonts w:ascii="Times New Roman" w:eastAsia="Times New Roman" w:hAnsi="Times New Roman" w:cs="Times New Roman"/>
          <w:noProof/>
          <w:sz w:val="24"/>
          <w:szCs w:val="24"/>
          <w:lang w:eastAsia="en-GB"/>
        </w:rPr>
        <w:lastRenderedPageBreak/>
        <w:drawing>
          <wp:inline distT="0" distB="0" distL="0" distR="0" wp14:anchorId="58E913E4" wp14:editId="5AA38336">
            <wp:extent cx="4238625" cy="5731510"/>
            <wp:effectExtent l="0" t="0" r="9525" b="2540"/>
            <wp:docPr id="78032282" name="Picture 3" descr="A black and white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2282" name="Picture 3" descr="A black and white text on a white backgr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8625" cy="5731510"/>
                    </a:xfrm>
                    <a:prstGeom prst="rect">
                      <a:avLst/>
                    </a:prstGeom>
                    <a:noFill/>
                    <a:ln>
                      <a:noFill/>
                    </a:ln>
                  </pic:spPr>
                </pic:pic>
              </a:graphicData>
            </a:graphic>
          </wp:inline>
        </w:drawing>
      </w:r>
      <w:r w:rsidR="00BD2A58" w:rsidRPr="007102CB">
        <w:rPr>
          <w:rFonts w:ascii="Times New Roman" w:eastAsia="Times New Roman" w:hAnsi="Times New Roman" w:cs="Times New Roman"/>
          <w:sz w:val="24"/>
          <w:szCs w:val="24"/>
          <w:lang w:eastAsia="en-GB"/>
        </w:rPr>
        <w:t xml:space="preserve"> </w:t>
      </w:r>
      <w:r w:rsidR="000638B0" w:rsidRPr="007102CB">
        <w:rPr>
          <w:rFonts w:ascii="Times New Roman" w:eastAsia="Times New Roman" w:hAnsi="Times New Roman" w:cs="Times New Roman"/>
          <w:sz w:val="24"/>
          <w:szCs w:val="24"/>
          <w:lang w:eastAsia="en-GB"/>
        </w:rPr>
        <w:t xml:space="preserve"> </w:t>
      </w:r>
      <w:r w:rsidR="006256A6" w:rsidRPr="007102CB">
        <w:rPr>
          <w:rFonts w:ascii="Times New Roman" w:eastAsia="Times New Roman" w:hAnsi="Times New Roman" w:cs="Times New Roman"/>
          <w:noProof/>
          <w:sz w:val="24"/>
          <w:szCs w:val="24"/>
          <w:lang w:eastAsia="en-GB"/>
        </w:rPr>
        <w:drawing>
          <wp:inline distT="0" distB="0" distL="0" distR="0" wp14:anchorId="311AB278" wp14:editId="0722C7C0">
            <wp:extent cx="4810125" cy="5731510"/>
            <wp:effectExtent l="0" t="0" r="9525" b="2540"/>
            <wp:docPr id="1983064459" name="Picture 1" descr="A graph of a tabl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64459" name="Picture 1" descr="A graph of a table with text&#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0125" cy="5731510"/>
                    </a:xfrm>
                    <a:prstGeom prst="rect">
                      <a:avLst/>
                    </a:prstGeom>
                    <a:noFill/>
                    <a:ln>
                      <a:noFill/>
                    </a:ln>
                  </pic:spPr>
                </pic:pic>
              </a:graphicData>
            </a:graphic>
          </wp:inline>
        </w:drawing>
      </w:r>
    </w:p>
    <w:p w14:paraId="07AB481A" w14:textId="77777777" w:rsidR="006E6D51" w:rsidRPr="007102CB" w:rsidRDefault="006E6D51" w:rsidP="00770443">
      <w:pPr>
        <w:spacing w:before="100" w:beforeAutospacing="1" w:after="100" w:afterAutospacing="1" w:line="276" w:lineRule="auto"/>
        <w:ind w:left="-567" w:firstLine="283"/>
        <w:rPr>
          <w:rFonts w:ascii="Times New Roman" w:eastAsia="Times New Roman" w:hAnsi="Times New Roman" w:cs="Times New Roman"/>
          <w:sz w:val="24"/>
          <w:szCs w:val="24"/>
          <w:lang w:eastAsia="en-GB"/>
        </w:rPr>
        <w:sectPr w:rsidR="006E6D51" w:rsidRPr="007102CB" w:rsidSect="00F558F8">
          <w:pgSz w:w="16838" w:h="11906" w:orient="landscape"/>
          <w:pgMar w:top="1440" w:right="820" w:bottom="1440" w:left="1440" w:header="708" w:footer="708" w:gutter="0"/>
          <w:cols w:space="708"/>
          <w:docGrid w:linePitch="360"/>
        </w:sectPr>
      </w:pPr>
    </w:p>
    <w:p w14:paraId="70B7C0A4" w14:textId="5053797C" w:rsidR="00AE0832" w:rsidRPr="007102CB" w:rsidRDefault="00BD3A96" w:rsidP="00A429CA">
      <w:pPr>
        <w:spacing w:before="100" w:beforeAutospacing="1" w:after="100" w:afterAutospacing="1" w:line="240" w:lineRule="auto"/>
        <w:ind w:left="-567" w:firstLine="283"/>
        <w:jc w:val="center"/>
        <w:rPr>
          <w:rFonts w:ascii="Times New Roman" w:eastAsia="Times New Roman" w:hAnsi="Times New Roman" w:cs="Times New Roman"/>
          <w:b/>
          <w:bCs/>
          <w:sz w:val="24"/>
          <w:szCs w:val="24"/>
          <w:lang w:eastAsia="en-GB"/>
        </w:rPr>
      </w:pPr>
      <w:r w:rsidRPr="007102CB">
        <w:rPr>
          <w:rFonts w:ascii="Times New Roman" w:eastAsia="Times New Roman" w:hAnsi="Times New Roman" w:cs="Times New Roman"/>
          <w:b/>
          <w:bCs/>
          <w:sz w:val="24"/>
          <w:szCs w:val="24"/>
          <w:lang w:eastAsia="en-GB"/>
        </w:rPr>
        <w:lastRenderedPageBreak/>
        <w:t>Bibliography</w:t>
      </w:r>
    </w:p>
    <w:p w14:paraId="2CDA8AEA" w14:textId="77777777" w:rsidR="00B6059A" w:rsidRPr="007102CB" w:rsidRDefault="00B6059A" w:rsidP="005F38D1">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Abashidze, Aslan. 2019. The Process of Strengthening the Human Rights Treaty Body System: The Road towards Effectiveness or Inefficiency?. (2019) </w:t>
      </w:r>
      <w:r w:rsidRPr="007102CB">
        <w:rPr>
          <w:rFonts w:ascii="Times New Roman" w:hAnsi="Times New Roman" w:cs="Times New Roman"/>
          <w:i/>
          <w:iCs/>
          <w:sz w:val="24"/>
          <w:szCs w:val="24"/>
        </w:rPr>
        <w:t xml:space="preserve">Netherlands Int Law Review </w:t>
      </w:r>
      <w:r w:rsidRPr="007102CB">
        <w:rPr>
          <w:rFonts w:ascii="Times New Roman" w:hAnsi="Times New Roman" w:cs="Times New Roman"/>
          <w:sz w:val="24"/>
          <w:szCs w:val="24"/>
        </w:rPr>
        <w:t>66(3): 357 - 389.</w:t>
      </w:r>
    </w:p>
    <w:p w14:paraId="57100A4C"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lang w:val="en-AU"/>
        </w:rPr>
        <w:t xml:space="preserve">Abebe, </w:t>
      </w:r>
      <w:proofErr w:type="spellStart"/>
      <w:r w:rsidRPr="007102CB">
        <w:rPr>
          <w:rFonts w:ascii="Times New Roman" w:hAnsi="Times New Roman" w:cs="Times New Roman"/>
          <w:sz w:val="24"/>
          <w:szCs w:val="24"/>
          <w:lang w:val="en-AU"/>
        </w:rPr>
        <w:t>Allehone</w:t>
      </w:r>
      <w:proofErr w:type="spellEnd"/>
      <w:r w:rsidRPr="007102CB">
        <w:rPr>
          <w:rFonts w:ascii="Times New Roman" w:hAnsi="Times New Roman" w:cs="Times New Roman"/>
          <w:sz w:val="24"/>
          <w:szCs w:val="24"/>
          <w:lang w:val="en-AU"/>
        </w:rPr>
        <w:t xml:space="preserve"> M. 2009. Of Shaming and Bargaining: African States and the Universal Periodic Review of the United Nations Human Rights Council. </w:t>
      </w:r>
      <w:r w:rsidRPr="007102CB">
        <w:rPr>
          <w:rFonts w:ascii="Times New Roman" w:hAnsi="Times New Roman" w:cs="Times New Roman"/>
          <w:i/>
          <w:sz w:val="24"/>
          <w:szCs w:val="24"/>
          <w:lang w:val="en-AU"/>
        </w:rPr>
        <w:t>Human Rights Law Review</w:t>
      </w:r>
      <w:r w:rsidRPr="007102CB">
        <w:rPr>
          <w:rFonts w:ascii="Times New Roman" w:hAnsi="Times New Roman" w:cs="Times New Roman"/>
          <w:iCs/>
          <w:sz w:val="24"/>
          <w:szCs w:val="24"/>
          <w:lang w:val="en-AU"/>
        </w:rPr>
        <w:t xml:space="preserve"> 9 (1): 1-35.</w:t>
      </w:r>
    </w:p>
    <w:p w14:paraId="1D67F6E7"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Amnesty International. 2016. Freedom Of Peaceful Assembly In South Korea And International Human Rights Standards. (referenced 14 March 2024)</w:t>
      </w:r>
    </w:p>
    <w:p w14:paraId="77905314" w14:textId="77777777" w:rsidR="00B6059A" w:rsidRPr="007102CB" w:rsidRDefault="00B6059A" w:rsidP="00A429CA">
      <w:pPr>
        <w:pStyle w:val="FootnoteText"/>
        <w:spacing w:before="100" w:beforeAutospacing="1" w:after="100" w:afterAutospacing="1"/>
        <w:jc w:val="both"/>
        <w:rPr>
          <w:rFonts w:ascii="Times New Roman" w:eastAsia="Calibri" w:hAnsi="Times New Roman" w:cs="Times New Roman"/>
          <w:sz w:val="24"/>
          <w:szCs w:val="24"/>
        </w:rPr>
      </w:pPr>
      <w:r w:rsidRPr="007102CB">
        <w:rPr>
          <w:rFonts w:ascii="Times New Roman" w:eastAsia="Calibri" w:hAnsi="Times New Roman" w:cs="Times New Roman"/>
          <w:sz w:val="24"/>
          <w:szCs w:val="24"/>
        </w:rPr>
        <w:t xml:space="preserve">Ashley, Louisa. 2024. Universal Periodic Review Prospects for Promoting Support for the United Nations Declaration on the Rights of Peasants and Other People Working in Rural Areas (UNDROP). In Damian </w:t>
      </w:r>
      <w:proofErr w:type="spellStart"/>
      <w:r w:rsidRPr="007102CB">
        <w:rPr>
          <w:rFonts w:ascii="Times New Roman" w:eastAsia="Calibri" w:hAnsi="Times New Roman" w:cs="Times New Roman"/>
          <w:sz w:val="24"/>
          <w:szCs w:val="24"/>
        </w:rPr>
        <w:t>Etone</w:t>
      </w:r>
      <w:proofErr w:type="spellEnd"/>
      <w:r w:rsidRPr="007102CB">
        <w:rPr>
          <w:rFonts w:ascii="Times New Roman" w:eastAsia="Calibri" w:hAnsi="Times New Roman" w:cs="Times New Roman"/>
          <w:sz w:val="24"/>
          <w:szCs w:val="24"/>
        </w:rPr>
        <w:t xml:space="preserve">, Amna Nazir, Alice Storey (eds.), </w:t>
      </w:r>
      <w:r w:rsidRPr="007102CB">
        <w:rPr>
          <w:rFonts w:ascii="Times New Roman" w:eastAsia="Calibri" w:hAnsi="Times New Roman" w:cs="Times New Roman"/>
          <w:i/>
          <w:iCs/>
          <w:sz w:val="24"/>
          <w:szCs w:val="24"/>
        </w:rPr>
        <w:t>Human Rights and the UN Universal Periodic Review Mechanism</w:t>
      </w:r>
      <w:r w:rsidRPr="007102CB">
        <w:rPr>
          <w:rFonts w:ascii="Times New Roman" w:eastAsia="Calibri" w:hAnsi="Times New Roman" w:cs="Times New Roman"/>
          <w:sz w:val="24"/>
          <w:szCs w:val="24"/>
        </w:rPr>
        <w:t>. Routledge.</w:t>
      </w:r>
      <w:r w:rsidRPr="007102CB">
        <w:rPr>
          <w:rFonts w:ascii="Times New Roman" w:hAnsi="Times New Roman" w:cs="Times New Roman"/>
          <w:sz w:val="24"/>
          <w:szCs w:val="24"/>
        </w:rPr>
        <w:t xml:space="preserve"> </w:t>
      </w:r>
    </w:p>
    <w:p w14:paraId="76D0142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Bae, Su Hyen. 2018. Power, Politicization, and Network Positions: Explaining State Participation in the UPR. </w:t>
      </w:r>
      <w:r w:rsidRPr="007102CB">
        <w:rPr>
          <w:rFonts w:ascii="Times New Roman" w:hAnsi="Times New Roman" w:cs="Times New Roman"/>
          <w:i/>
          <w:iCs/>
          <w:sz w:val="24"/>
          <w:szCs w:val="24"/>
        </w:rPr>
        <w:t>The Korean Journal of International Studies</w:t>
      </w:r>
      <w:r w:rsidRPr="007102CB">
        <w:rPr>
          <w:rFonts w:ascii="Times New Roman" w:hAnsi="Times New Roman" w:cs="Times New Roman"/>
          <w:sz w:val="24"/>
          <w:szCs w:val="24"/>
        </w:rPr>
        <w:t xml:space="preserve"> 16: 335-365.</w:t>
      </w:r>
    </w:p>
    <w:p w14:paraId="27A33AE6" w14:textId="77777777" w:rsidR="00B6059A" w:rsidRPr="007102CB" w:rsidRDefault="00B6059A" w:rsidP="00A429CA">
      <w:pPr>
        <w:spacing w:before="100" w:beforeAutospacing="1" w:after="100" w:afterAutospacing="1" w:line="240" w:lineRule="auto"/>
        <w:jc w:val="both"/>
        <w:rPr>
          <w:rFonts w:ascii="Times New Roman" w:eastAsia="Aptos" w:hAnsi="Times New Roman" w:cs="Times New Roman"/>
          <w:sz w:val="24"/>
          <w:szCs w:val="24"/>
        </w:rPr>
      </w:pPr>
      <w:r w:rsidRPr="007102CB">
        <w:rPr>
          <w:rFonts w:ascii="Times New Roman" w:eastAsia="Aptos" w:hAnsi="Times New Roman" w:cs="Times New Roman"/>
          <w:sz w:val="24"/>
          <w:szCs w:val="24"/>
        </w:rPr>
        <w:t xml:space="preserve">Baird, Natalie. 2015. The Role of International Non-governmental Organisations in the Uni-versal Periodic Review of Pacific Island States: Can ‘doing good’ be done better?. (2015 </w:t>
      </w:r>
      <w:r w:rsidRPr="007102CB">
        <w:rPr>
          <w:rFonts w:ascii="Times New Roman" w:eastAsia="Aptos" w:hAnsi="Times New Roman" w:cs="Times New Roman"/>
          <w:i/>
          <w:iCs/>
          <w:sz w:val="24"/>
          <w:szCs w:val="24"/>
        </w:rPr>
        <w:t>Melbourne Journal of International Law</w:t>
      </w:r>
      <w:r w:rsidRPr="007102CB">
        <w:rPr>
          <w:rFonts w:ascii="Times New Roman" w:eastAsia="Aptos" w:hAnsi="Times New Roman" w:cs="Times New Roman"/>
          <w:sz w:val="24"/>
          <w:szCs w:val="24"/>
        </w:rPr>
        <w:t xml:space="preserve"> 16(2): 1-35. </w:t>
      </w:r>
    </w:p>
    <w:p w14:paraId="3C174BB8"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Banks, N., Hulme, D. and Edwards, M. 2015. NGOs, States and Donors Revisited: Still too close for comfort? </w:t>
      </w:r>
      <w:r w:rsidRPr="007102CB">
        <w:rPr>
          <w:rFonts w:ascii="Times New Roman" w:hAnsi="Times New Roman" w:cs="Times New Roman"/>
          <w:i/>
          <w:iCs/>
          <w:sz w:val="24"/>
          <w:szCs w:val="24"/>
        </w:rPr>
        <w:t xml:space="preserve">World Development </w:t>
      </w:r>
      <w:r w:rsidRPr="007102CB">
        <w:rPr>
          <w:rFonts w:ascii="Times New Roman" w:hAnsi="Times New Roman" w:cs="Times New Roman"/>
          <w:sz w:val="24"/>
          <w:szCs w:val="24"/>
        </w:rPr>
        <w:t>66: 707-718.</w:t>
      </w:r>
    </w:p>
    <w:p w14:paraId="64C0943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Bantekas</w:t>
      </w:r>
      <w:proofErr w:type="spellEnd"/>
      <w:r w:rsidRPr="007102CB">
        <w:rPr>
          <w:rFonts w:ascii="Times New Roman" w:hAnsi="Times New Roman" w:cs="Times New Roman"/>
          <w:sz w:val="24"/>
          <w:szCs w:val="24"/>
        </w:rPr>
        <w:t xml:space="preserve">, Ilias and </w:t>
      </w:r>
      <w:proofErr w:type="spellStart"/>
      <w:r w:rsidRPr="007102CB">
        <w:rPr>
          <w:rFonts w:ascii="Times New Roman" w:hAnsi="Times New Roman" w:cs="Times New Roman"/>
          <w:sz w:val="24"/>
          <w:szCs w:val="24"/>
        </w:rPr>
        <w:t>Oette</w:t>
      </w:r>
      <w:proofErr w:type="spellEnd"/>
      <w:r w:rsidRPr="007102CB">
        <w:rPr>
          <w:rFonts w:ascii="Times New Roman" w:hAnsi="Times New Roman" w:cs="Times New Roman"/>
          <w:sz w:val="24"/>
          <w:szCs w:val="24"/>
        </w:rPr>
        <w:t xml:space="preserve">, Lutz. 2020. </w:t>
      </w:r>
      <w:r w:rsidRPr="007102CB">
        <w:rPr>
          <w:rFonts w:ascii="Times New Roman" w:hAnsi="Times New Roman" w:cs="Times New Roman"/>
          <w:i/>
          <w:iCs/>
          <w:sz w:val="24"/>
          <w:szCs w:val="24"/>
        </w:rPr>
        <w:t>International Human Rights Law and Practice</w:t>
      </w:r>
      <w:r w:rsidRPr="007102CB">
        <w:rPr>
          <w:rFonts w:ascii="Times New Roman" w:hAnsi="Times New Roman" w:cs="Times New Roman"/>
          <w:sz w:val="24"/>
          <w:szCs w:val="24"/>
        </w:rPr>
        <w:t>. Cambridge University Press.</w:t>
      </w:r>
    </w:p>
    <w:p w14:paraId="4B0372B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Berkovitch, Nitza and Gordon, Neve. 2008. The Political Economy of Transnational Regimes: The Case of Human Rights. </w:t>
      </w:r>
      <w:r w:rsidRPr="007102CB">
        <w:rPr>
          <w:rFonts w:ascii="Times New Roman" w:hAnsi="Times New Roman" w:cs="Times New Roman"/>
          <w:i/>
          <w:iCs/>
          <w:sz w:val="24"/>
          <w:szCs w:val="24"/>
        </w:rPr>
        <w:t xml:space="preserve">International Studies Quarterly </w:t>
      </w:r>
      <w:r w:rsidRPr="007102CB">
        <w:rPr>
          <w:rFonts w:ascii="Times New Roman" w:hAnsi="Times New Roman" w:cs="Times New Roman"/>
          <w:sz w:val="24"/>
          <w:szCs w:val="24"/>
        </w:rPr>
        <w:t xml:space="preserve">52(4) 881-904. </w:t>
      </w:r>
    </w:p>
    <w:p w14:paraId="5E55147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Cáceres, Sigfrido Burgos. 2012. NGOs, IGOs, and International Law: Gaining Credibility and Legitimacy through Lobbying and Results. </w:t>
      </w:r>
      <w:r w:rsidRPr="007102CB">
        <w:rPr>
          <w:rFonts w:ascii="Times New Roman" w:hAnsi="Times New Roman" w:cs="Times New Roman"/>
          <w:i/>
          <w:iCs/>
          <w:sz w:val="24"/>
          <w:szCs w:val="24"/>
        </w:rPr>
        <w:t>Georgetown Journal of International Affairs</w:t>
      </w:r>
      <w:r w:rsidRPr="007102CB">
        <w:rPr>
          <w:rFonts w:ascii="Times New Roman" w:hAnsi="Times New Roman" w:cs="Times New Roman"/>
          <w:sz w:val="24"/>
          <w:szCs w:val="24"/>
        </w:rPr>
        <w:t xml:space="preserve"> 13(1): 70-87. </w:t>
      </w:r>
    </w:p>
    <w:p w14:paraId="01003E8E" w14:textId="77777777" w:rsidR="00B6059A" w:rsidRPr="007102CB" w:rsidRDefault="00B6059A" w:rsidP="005F38D1">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Carolei</w:t>
      </w:r>
      <w:proofErr w:type="spellEnd"/>
      <w:r w:rsidRPr="007102CB">
        <w:rPr>
          <w:rFonts w:ascii="Times New Roman" w:hAnsi="Times New Roman" w:cs="Times New Roman"/>
          <w:sz w:val="24"/>
          <w:szCs w:val="24"/>
        </w:rPr>
        <w:t xml:space="preserve">, Domenico. 2023. </w:t>
      </w:r>
      <w:r w:rsidRPr="007102CB">
        <w:rPr>
          <w:rFonts w:ascii="Times New Roman" w:hAnsi="Times New Roman" w:cs="Times New Roman"/>
          <w:i/>
          <w:iCs/>
          <w:sz w:val="24"/>
          <w:szCs w:val="24"/>
        </w:rPr>
        <w:t>Non-Governmental Organisations and the Law: Self-Regulation and Accountability</w:t>
      </w:r>
      <w:r w:rsidRPr="007102CB">
        <w:rPr>
          <w:rFonts w:ascii="Times New Roman" w:hAnsi="Times New Roman" w:cs="Times New Roman"/>
          <w:sz w:val="24"/>
          <w:szCs w:val="24"/>
        </w:rPr>
        <w:t>. Routledge.</w:t>
      </w:r>
    </w:p>
    <w:p w14:paraId="016C8F14"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Child Rights Connect. 2015. Model UPR advocacy strategy for NGOs. </w:t>
      </w:r>
      <w:hyperlink r:id="rId21" w:history="1">
        <w:r w:rsidRPr="007102CB">
          <w:rPr>
            <w:rStyle w:val="Hyperlink"/>
            <w:rFonts w:ascii="Times New Roman" w:eastAsia="Calibri" w:hAnsi="Times New Roman" w:cs="Times New Roman"/>
            <w:color w:val="auto"/>
            <w:sz w:val="24"/>
            <w:szCs w:val="24"/>
          </w:rPr>
          <w:t>https://www.childrightsconnect.org/wp-content/uploads/2015/08/UPR-FS-3-NGO-Advocacy_ENGLISH_table.pdf</w:t>
        </w:r>
      </w:hyperlink>
      <w:r w:rsidRPr="007102CB">
        <w:rPr>
          <w:rFonts w:ascii="Times New Roman" w:eastAsia="Calibri" w:hAnsi="Times New Roman" w:cs="Times New Roman"/>
          <w:sz w:val="24"/>
          <w:szCs w:val="24"/>
        </w:rPr>
        <w:t xml:space="preserve">. (referenced 4 June 2024). </w:t>
      </w:r>
    </w:p>
    <w:p w14:paraId="3CB99C4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Child Rights Connect. 2023. The Universal Periodic Review, children’s rights and the UN Committee on the Rights of the Child. </w:t>
      </w:r>
      <w:hyperlink r:id="rId22" w:history="1">
        <w:r w:rsidRPr="007102CB">
          <w:rPr>
            <w:rStyle w:val="Hyperlink"/>
            <w:rFonts w:ascii="Times New Roman" w:eastAsia="Calibri" w:hAnsi="Times New Roman" w:cs="Times New Roman"/>
            <w:color w:val="auto"/>
            <w:sz w:val="24"/>
            <w:szCs w:val="24"/>
          </w:rPr>
          <w:t>https://childrightsconnect.org/wp-content/uploads/2018/01/en_factsheet-3.pdf</w:t>
        </w:r>
      </w:hyperlink>
      <w:r w:rsidRPr="007102CB">
        <w:rPr>
          <w:rFonts w:ascii="Times New Roman" w:eastAsia="Calibri" w:hAnsi="Times New Roman" w:cs="Times New Roman"/>
          <w:sz w:val="24"/>
          <w:szCs w:val="24"/>
        </w:rPr>
        <w:t xml:space="preserve"> (referenced 4 June 2024). </w:t>
      </w:r>
      <w:r w:rsidRPr="007102CB">
        <w:rPr>
          <w:rFonts w:ascii="Times New Roman" w:hAnsi="Times New Roman" w:cs="Times New Roman"/>
          <w:sz w:val="24"/>
          <w:szCs w:val="24"/>
        </w:rPr>
        <w:t xml:space="preserve"> </w:t>
      </w:r>
    </w:p>
    <w:p w14:paraId="0F1BE49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lastRenderedPageBreak/>
        <w:t xml:space="preserve">Cowan, Jane K. and Billaud, Julie. 2015. Between Learning and Schooling: The Politics of Human Rights Monitoring at the Universal Periodic Review. </w:t>
      </w:r>
      <w:r w:rsidRPr="007102CB">
        <w:rPr>
          <w:rFonts w:ascii="Times New Roman" w:hAnsi="Times New Roman" w:cs="Times New Roman"/>
          <w:i/>
          <w:iCs/>
          <w:sz w:val="24"/>
          <w:szCs w:val="24"/>
        </w:rPr>
        <w:t>Third World Quarterly</w:t>
      </w:r>
      <w:r w:rsidRPr="007102CB">
        <w:rPr>
          <w:rFonts w:ascii="Times New Roman" w:hAnsi="Times New Roman" w:cs="Times New Roman"/>
          <w:sz w:val="24"/>
          <w:szCs w:val="24"/>
        </w:rPr>
        <w:t xml:space="preserve"> 36 (6): 1175–90. </w:t>
      </w:r>
    </w:p>
    <w:p w14:paraId="3C1E5FF5"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Creamer, Cosette D. and Simmons, Beth A. 2020. The Proof Is in the Process: Self-Reporting Under International Human Rights Treaties. </w:t>
      </w:r>
      <w:r w:rsidRPr="007102CB">
        <w:rPr>
          <w:rFonts w:ascii="Times New Roman" w:hAnsi="Times New Roman" w:cs="Times New Roman"/>
          <w:i/>
          <w:iCs/>
          <w:sz w:val="24"/>
          <w:szCs w:val="24"/>
        </w:rPr>
        <w:t>American Journal of International Law</w:t>
      </w:r>
      <w:r w:rsidRPr="007102CB">
        <w:rPr>
          <w:rFonts w:ascii="Times New Roman" w:hAnsi="Times New Roman" w:cs="Times New Roman"/>
          <w:sz w:val="24"/>
          <w:szCs w:val="24"/>
        </w:rPr>
        <w:t xml:space="preserve"> 114(1):1-50.</w:t>
      </w:r>
    </w:p>
    <w:p w14:paraId="191B6892"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Economic and Social Council. 1996. Resolution 1996/31. Consultative relationship between the United Nations and non-governmental organizations. Adopted 25 July 1996.</w:t>
      </w:r>
    </w:p>
    <w:p w14:paraId="4B8756B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Edwards, Nicola. 2020. Challenging Impunity in Indonesia and the Philippines through the Universal Periodic Review Mechanism. </w:t>
      </w:r>
      <w:r w:rsidRPr="007102CB">
        <w:rPr>
          <w:rFonts w:ascii="Times New Roman" w:hAnsi="Times New Roman" w:cs="Times New Roman"/>
          <w:i/>
          <w:iCs/>
          <w:sz w:val="24"/>
          <w:szCs w:val="24"/>
        </w:rPr>
        <w:t>Australian Journal of Human Rights</w:t>
      </w:r>
      <w:r w:rsidRPr="007102CB">
        <w:rPr>
          <w:rFonts w:ascii="Times New Roman" w:hAnsi="Times New Roman" w:cs="Times New Roman"/>
          <w:sz w:val="24"/>
          <w:szCs w:val="24"/>
        </w:rPr>
        <w:t xml:space="preserve"> 26(2):1-18.</w:t>
      </w:r>
    </w:p>
    <w:p w14:paraId="01B7CAF0"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Etone</w:t>
      </w:r>
      <w:proofErr w:type="spellEnd"/>
      <w:r w:rsidRPr="007102CB">
        <w:rPr>
          <w:rFonts w:ascii="Times New Roman" w:hAnsi="Times New Roman" w:cs="Times New Roman"/>
          <w:sz w:val="24"/>
          <w:szCs w:val="24"/>
        </w:rPr>
        <w:t xml:space="preserve">, Damian. 2020. </w:t>
      </w:r>
      <w:r w:rsidRPr="007102CB">
        <w:rPr>
          <w:rFonts w:ascii="Times New Roman" w:hAnsi="Times New Roman" w:cs="Times New Roman"/>
          <w:i/>
          <w:iCs/>
          <w:sz w:val="24"/>
          <w:szCs w:val="24"/>
        </w:rPr>
        <w:t xml:space="preserve">The Human Rights Council: The Impact of the Universal Periodic Review in Africa. </w:t>
      </w:r>
      <w:r w:rsidRPr="007102CB">
        <w:rPr>
          <w:rFonts w:ascii="Times New Roman" w:hAnsi="Times New Roman" w:cs="Times New Roman"/>
          <w:sz w:val="24"/>
          <w:szCs w:val="24"/>
        </w:rPr>
        <w:t>Routledge.</w:t>
      </w:r>
    </w:p>
    <w:p w14:paraId="742F2B0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Gaer, Felice D. 2003. Implementing international human rights norms: UN human rights treaty bodies and NGOs. </w:t>
      </w:r>
      <w:r w:rsidRPr="007102CB">
        <w:rPr>
          <w:rFonts w:ascii="Times New Roman" w:hAnsi="Times New Roman" w:cs="Times New Roman"/>
          <w:i/>
          <w:iCs/>
          <w:sz w:val="24"/>
          <w:szCs w:val="24"/>
        </w:rPr>
        <w:t>Journal of Human Rights</w:t>
      </w:r>
      <w:r w:rsidRPr="007102CB">
        <w:rPr>
          <w:rFonts w:ascii="Times New Roman" w:hAnsi="Times New Roman" w:cs="Times New Roman"/>
          <w:sz w:val="24"/>
          <w:szCs w:val="24"/>
        </w:rPr>
        <w:t xml:space="preserve"> 2(3): 339-357. </w:t>
      </w:r>
    </w:p>
    <w:p w14:paraId="50938269"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Aptos" w:hAnsi="Times New Roman" w:cs="Times New Roman"/>
          <w:sz w:val="24"/>
          <w:szCs w:val="24"/>
        </w:rPr>
        <w:t>Gay and Lesbian Coalition of Kenya. 2019. Statements UPR Pre-session on Kenya. https://upr.info/sites/default/files/documents/2019-12/2._gay_and_lesbian_coalition_of_kenya_stmt.pdf  (referenced 30 December 2024).</w:t>
      </w:r>
    </w:p>
    <w:p w14:paraId="45FECFA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Hinfelaar</w:t>
      </w:r>
      <w:proofErr w:type="spellEnd"/>
      <w:r w:rsidRPr="007102CB">
        <w:rPr>
          <w:rFonts w:ascii="Times New Roman" w:hAnsi="Times New Roman" w:cs="Times New Roman"/>
          <w:sz w:val="24"/>
          <w:szCs w:val="24"/>
        </w:rPr>
        <w:t xml:space="preserve">, Marja and Kaaba, O'Brien. 2019. Adjust, Resist, or Disband: How Does Civil Society Respond to Repression in Zambia?. </w:t>
      </w:r>
      <w:r w:rsidRPr="007102CB">
        <w:rPr>
          <w:rFonts w:ascii="Times New Roman" w:hAnsi="Times New Roman" w:cs="Times New Roman"/>
          <w:i/>
          <w:iCs/>
          <w:sz w:val="24"/>
          <w:szCs w:val="24"/>
        </w:rPr>
        <w:t>PRIO Paper</w:t>
      </w:r>
      <w:r w:rsidRPr="007102CB">
        <w:rPr>
          <w:rFonts w:ascii="Times New Roman" w:hAnsi="Times New Roman" w:cs="Times New Roman"/>
          <w:sz w:val="24"/>
          <w:szCs w:val="24"/>
        </w:rPr>
        <w:t>. Oslo: PRIO.</w:t>
      </w:r>
    </w:p>
    <w:p w14:paraId="5B7248BC"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Houghton, Ruth Alice. 2014. A Puzzle for International Law: NGOs at the United Nations. </w:t>
      </w:r>
      <w:r w:rsidRPr="007102CB">
        <w:rPr>
          <w:rFonts w:ascii="Times New Roman" w:hAnsi="Times New Roman" w:cs="Times New Roman"/>
          <w:i/>
          <w:iCs/>
          <w:sz w:val="24"/>
          <w:szCs w:val="24"/>
        </w:rPr>
        <w:t>North East Law Review</w:t>
      </w:r>
      <w:r w:rsidRPr="007102CB">
        <w:rPr>
          <w:rFonts w:ascii="Times New Roman" w:hAnsi="Times New Roman" w:cs="Times New Roman"/>
          <w:sz w:val="24"/>
          <w:szCs w:val="24"/>
        </w:rPr>
        <w:t xml:space="preserve"> 2(2): 1-24. </w:t>
      </w:r>
    </w:p>
    <w:p w14:paraId="4A5D3E2C" w14:textId="77777777" w:rsidR="00B6059A" w:rsidRPr="007102CB" w:rsidRDefault="00B6059A" w:rsidP="00A429CA">
      <w:pPr>
        <w:spacing w:before="100" w:beforeAutospacing="1" w:after="100" w:afterAutospacing="1" w:line="240" w:lineRule="auto"/>
        <w:jc w:val="both"/>
        <w:rPr>
          <w:rFonts w:ascii="Times New Roman" w:hAnsi="Times New Roman" w:cs="Times New Roman"/>
          <w:sz w:val="24"/>
          <w:szCs w:val="24"/>
        </w:rPr>
      </w:pPr>
      <w:r w:rsidRPr="007102CB">
        <w:rPr>
          <w:rFonts w:ascii="Times New Roman" w:eastAsia="Aptos" w:hAnsi="Times New Roman" w:cs="Times New Roman"/>
          <w:sz w:val="24"/>
          <w:szCs w:val="24"/>
        </w:rPr>
        <w:t xml:space="preserve">Human Rights Commission Zambia. 2022. Statement UPR Pre-session on Zambia. </w:t>
      </w:r>
      <w:hyperlink r:id="rId23" w:history="1">
        <w:r w:rsidRPr="007102CB">
          <w:rPr>
            <w:rStyle w:val="Hyperlink"/>
            <w:rFonts w:ascii="Times New Roman" w:eastAsia="Aptos" w:hAnsi="Times New Roman" w:cs="Times New Roman"/>
            <w:color w:val="auto"/>
            <w:sz w:val="24"/>
            <w:szCs w:val="24"/>
          </w:rPr>
          <w:t>https://upr.info/sites/default/files/country-document/2022-11/HRC_Statement_Presession42_Zambia.pdf</w:t>
        </w:r>
      </w:hyperlink>
      <w:r w:rsidRPr="007102CB">
        <w:rPr>
          <w:rFonts w:ascii="Times New Roman" w:eastAsia="Aptos" w:hAnsi="Times New Roman" w:cs="Times New Roman"/>
          <w:sz w:val="24"/>
          <w:szCs w:val="24"/>
        </w:rPr>
        <w:t xml:space="preserve"> (referenced 19 May 2024). </w:t>
      </w:r>
    </w:p>
    <w:p w14:paraId="7626EAB5" w14:textId="6003DF9C"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INGO Accountability Charter.</w:t>
      </w:r>
      <w:r w:rsidR="00C74813" w:rsidRPr="007102CB">
        <w:rPr>
          <w:rFonts w:ascii="Times New Roman" w:hAnsi="Times New Roman" w:cs="Times New Roman"/>
          <w:sz w:val="24"/>
          <w:szCs w:val="24"/>
        </w:rPr>
        <w:t xml:space="preserve"> 2005.</w:t>
      </w:r>
      <w:r w:rsidRPr="007102CB">
        <w:rPr>
          <w:rFonts w:ascii="Times New Roman" w:hAnsi="Times New Roman" w:cs="Times New Roman"/>
          <w:sz w:val="24"/>
          <w:szCs w:val="24"/>
        </w:rPr>
        <w:t xml:space="preserve"> </w:t>
      </w:r>
      <w:r w:rsidR="00C74813" w:rsidRPr="007102CB">
        <w:rPr>
          <w:rFonts w:ascii="Times New Roman" w:hAnsi="Times New Roman" w:cs="Times New Roman"/>
          <w:sz w:val="24"/>
          <w:szCs w:val="24"/>
        </w:rPr>
        <w:t>chrome-extension://efaidnbmnnnibpcajpcglclefindmkaj/https://www.amnesty.org/en/wp-content/uploads/2021/08/ior800062006en.pdf</w:t>
      </w:r>
      <w:r w:rsidR="00082708" w:rsidRPr="007102CB">
        <w:rPr>
          <w:rFonts w:ascii="Times New Roman" w:hAnsi="Times New Roman" w:cs="Times New Roman"/>
          <w:sz w:val="24"/>
          <w:szCs w:val="24"/>
        </w:rPr>
        <w:t xml:space="preserve"> (referenced 30 December 2024).</w:t>
      </w:r>
    </w:p>
    <w:p w14:paraId="4E0721F5"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Joint CSO Submission. 2010. Women’s Human Rights: Argentine State Pending Debts, Alternative Report from Civil Society Organizations in Connection with the Submission of the Sixth Periodic Report of the States Parties (CEDAW/C/ARG/6) to the Committee for the Elimination of All Forms of Discrimination against Women, 46</w:t>
      </w:r>
      <w:r w:rsidRPr="007102CB">
        <w:rPr>
          <w:rFonts w:ascii="Times New Roman" w:hAnsi="Times New Roman" w:cs="Times New Roman"/>
          <w:sz w:val="24"/>
          <w:szCs w:val="24"/>
          <w:vertAlign w:val="superscript"/>
        </w:rPr>
        <w:t>th</w:t>
      </w:r>
      <w:r w:rsidRPr="007102CB">
        <w:rPr>
          <w:rFonts w:ascii="Times New Roman" w:hAnsi="Times New Roman" w:cs="Times New Roman"/>
          <w:sz w:val="24"/>
          <w:szCs w:val="24"/>
        </w:rPr>
        <w:t xml:space="preserve"> Period of Sessions. </w:t>
      </w:r>
      <w:hyperlink r:id="rId24" w:history="1">
        <w:r w:rsidRPr="007102CB">
          <w:rPr>
            <w:rStyle w:val="Hyperlink"/>
            <w:rFonts w:ascii="Times New Roman" w:hAnsi="Times New Roman" w:cs="Times New Roman"/>
            <w:color w:val="auto"/>
            <w:sz w:val="24"/>
            <w:szCs w:val="24"/>
          </w:rPr>
          <w:t>https://tbinternet.ohchr.org/Treaties/CEDAW/Shared%</w:t>
        </w:r>
      </w:hyperlink>
      <w:r w:rsidRPr="007102CB">
        <w:rPr>
          <w:rFonts w:ascii="Times New Roman" w:hAnsi="Times New Roman" w:cs="Times New Roman"/>
          <w:sz w:val="24"/>
          <w:szCs w:val="24"/>
        </w:rPr>
        <w:t xml:space="preserve">  (reference 14 March 2024).</w:t>
      </w:r>
    </w:p>
    <w:p w14:paraId="02AE85C1"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Joseph, Sara. 2014. Global media coverage of the Universal Periodic Review process. In Hilary Charlesworth and Emma Larking (eds.), </w:t>
      </w:r>
      <w:r w:rsidRPr="007102CB">
        <w:rPr>
          <w:rFonts w:ascii="Times New Roman" w:eastAsia="Calibri" w:hAnsi="Times New Roman" w:cs="Times New Roman"/>
          <w:i/>
          <w:iCs/>
          <w:sz w:val="24"/>
          <w:szCs w:val="24"/>
        </w:rPr>
        <w:t>Human Rights and the Universal Periodic Review</w:t>
      </w:r>
      <w:r w:rsidRPr="007102CB">
        <w:rPr>
          <w:rFonts w:ascii="Times New Roman" w:eastAsia="Calibri" w:hAnsi="Times New Roman" w:cs="Times New Roman"/>
          <w:sz w:val="24"/>
          <w:szCs w:val="24"/>
        </w:rPr>
        <w:t>. Cambridge University Press.</w:t>
      </w:r>
    </w:p>
    <w:p w14:paraId="2A7FA07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KELIN. 2023. Kelin Participates In The Universal Periodic Review Kenya Stakeholders Meet Up. </w:t>
      </w:r>
      <w:hyperlink r:id="rId25" w:anchor=":~:text=On%2017th%20and%2018,Organizations%20working%20on%20Human%20Rights." w:history="1">
        <w:r w:rsidRPr="007102CB">
          <w:rPr>
            <w:rStyle w:val="Hyperlink"/>
            <w:rFonts w:ascii="Times New Roman" w:eastAsia="Calibri" w:hAnsi="Times New Roman" w:cs="Times New Roman"/>
            <w:color w:val="auto"/>
            <w:sz w:val="24"/>
            <w:szCs w:val="24"/>
          </w:rPr>
          <w:t>https://www.kelinkenya.org/kelin-participates-in-the-universal-periodic-review-kenya-</w:t>
        </w:r>
        <w:r w:rsidRPr="007102CB">
          <w:rPr>
            <w:rStyle w:val="Hyperlink"/>
            <w:rFonts w:ascii="Times New Roman" w:eastAsia="Calibri" w:hAnsi="Times New Roman" w:cs="Times New Roman"/>
            <w:color w:val="auto"/>
            <w:sz w:val="24"/>
            <w:szCs w:val="24"/>
          </w:rPr>
          <w:lastRenderedPageBreak/>
          <w:t>stakeholders-meet-up/#:~:text=On%2017th%20and%2018,Organizations%20working%20on%20Human%20Rights.</w:t>
        </w:r>
      </w:hyperlink>
      <w:r w:rsidRPr="007102CB">
        <w:rPr>
          <w:rFonts w:ascii="Times New Roman" w:eastAsia="Calibri" w:hAnsi="Times New Roman" w:cs="Times New Roman"/>
          <w:sz w:val="24"/>
          <w:szCs w:val="24"/>
        </w:rPr>
        <w:t xml:space="preserve"> (referenced 25 April 2024).  </w:t>
      </w:r>
      <w:r w:rsidRPr="007102CB">
        <w:rPr>
          <w:rFonts w:ascii="Times New Roman" w:hAnsi="Times New Roman" w:cs="Times New Roman"/>
          <w:sz w:val="24"/>
          <w:szCs w:val="24"/>
        </w:rPr>
        <w:t xml:space="preserve"> </w:t>
      </w:r>
    </w:p>
    <w:p w14:paraId="7D3CA882"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Kellow, Aynsley and Murphy-Gregory, Hannah. 2018. NGOs and global politics. In Aynsley Kellow and Hannah Murphy-Gregory (eds), </w:t>
      </w:r>
      <w:r w:rsidRPr="007102CB">
        <w:rPr>
          <w:rFonts w:ascii="Times New Roman" w:hAnsi="Times New Roman" w:cs="Times New Roman"/>
          <w:i/>
          <w:iCs/>
          <w:sz w:val="24"/>
          <w:szCs w:val="24"/>
        </w:rPr>
        <w:t>Handbook of Research on NGOs</w:t>
      </w:r>
      <w:r w:rsidRPr="007102CB">
        <w:rPr>
          <w:rFonts w:ascii="Times New Roman" w:hAnsi="Times New Roman" w:cs="Times New Roman"/>
          <w:sz w:val="24"/>
          <w:szCs w:val="24"/>
        </w:rPr>
        <w:t>, pp 1-14 Edward Elgar Publishing.</w:t>
      </w:r>
    </w:p>
    <w:p w14:paraId="1B197FE9"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Kenya UPR Stakeholders’ Coalition. 2018. Kenya's 2nd Cycle Universal Periodic Review Mid Term Report. </w:t>
      </w:r>
      <w:hyperlink r:id="rId26">
        <w:r w:rsidRPr="007102CB">
          <w:rPr>
            <w:rStyle w:val="Hyperlink"/>
            <w:rFonts w:ascii="Times New Roman" w:eastAsia="Calibri" w:hAnsi="Times New Roman" w:cs="Times New Roman"/>
            <w:color w:val="auto"/>
            <w:sz w:val="24"/>
            <w:szCs w:val="24"/>
          </w:rPr>
          <w:t>https://www.eachrights.or.ke/ssd/2024/03/Kenya-CSO-UPR-Mid-Term-Report.pdf</w:t>
        </w:r>
      </w:hyperlink>
      <w:r w:rsidRPr="007102CB">
        <w:rPr>
          <w:rFonts w:ascii="Times New Roman" w:eastAsia="Calibri" w:hAnsi="Times New Roman" w:cs="Times New Roman"/>
          <w:sz w:val="24"/>
          <w:szCs w:val="24"/>
        </w:rPr>
        <w:t xml:space="preserve"> (referenced 23 April 2024).  </w:t>
      </w:r>
      <w:r w:rsidRPr="007102CB">
        <w:rPr>
          <w:rFonts w:ascii="Times New Roman" w:hAnsi="Times New Roman" w:cs="Times New Roman"/>
          <w:sz w:val="24"/>
          <w:szCs w:val="24"/>
        </w:rPr>
        <w:t xml:space="preserve"> </w:t>
      </w:r>
    </w:p>
    <w:p w14:paraId="69098361"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KNCHR. 2011. Accounting for Human Rights Protection Under the UPR: The Difference Kenya’s Stakeholders Made.  &lt;</w:t>
      </w:r>
      <w:hyperlink r:id="rId27">
        <w:r w:rsidRPr="007102CB">
          <w:rPr>
            <w:rStyle w:val="Hyperlink"/>
            <w:rFonts w:ascii="Times New Roman" w:eastAsia="Calibri" w:hAnsi="Times New Roman" w:cs="Times New Roman"/>
            <w:color w:val="auto"/>
            <w:sz w:val="24"/>
            <w:szCs w:val="24"/>
          </w:rPr>
          <w:t>https://www.knchr.org/Portals/0/InternationalObligationsReports/Accounting_For_Human_Rights_Protection_Under_the_UPR.pdf?ver=2013-02-21-150102-893</w:t>
        </w:r>
      </w:hyperlink>
      <w:r w:rsidRPr="007102CB">
        <w:rPr>
          <w:rFonts w:ascii="Times New Roman" w:eastAsia="Calibri" w:hAnsi="Times New Roman" w:cs="Times New Roman"/>
          <w:sz w:val="24"/>
          <w:szCs w:val="24"/>
        </w:rPr>
        <w:t xml:space="preserve">&gt; (referenced 20 April 2024).  </w:t>
      </w:r>
      <w:r w:rsidRPr="007102CB">
        <w:rPr>
          <w:rFonts w:ascii="Times New Roman" w:hAnsi="Times New Roman" w:cs="Times New Roman"/>
          <w:sz w:val="24"/>
          <w:szCs w:val="24"/>
        </w:rPr>
        <w:t xml:space="preserve"> </w:t>
      </w:r>
    </w:p>
    <w:p w14:paraId="41425329"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McGaughey Fiona. 2017. The Role and Influence of Non-governmental Organisations in the Universal Periodic Review – International Context and Australian Case Study. </w:t>
      </w:r>
      <w:r w:rsidRPr="007102CB">
        <w:rPr>
          <w:rFonts w:ascii="Times New Roman" w:hAnsi="Times New Roman" w:cs="Times New Roman"/>
          <w:i/>
          <w:iCs/>
          <w:sz w:val="24"/>
          <w:szCs w:val="24"/>
        </w:rPr>
        <w:t xml:space="preserve">Human Rights Law Review </w:t>
      </w:r>
      <w:r w:rsidRPr="007102CB">
        <w:rPr>
          <w:rFonts w:ascii="Times New Roman" w:hAnsi="Times New Roman" w:cs="Times New Roman"/>
          <w:sz w:val="24"/>
          <w:szCs w:val="24"/>
        </w:rPr>
        <w:t>17: 421 - 450 .</w:t>
      </w:r>
    </w:p>
    <w:p w14:paraId="287D213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lang w:val="en-AU"/>
        </w:rPr>
      </w:pPr>
      <w:r w:rsidRPr="007102CB">
        <w:rPr>
          <w:rFonts w:ascii="Times New Roman" w:hAnsi="Times New Roman" w:cs="Times New Roman"/>
          <w:sz w:val="24"/>
          <w:szCs w:val="24"/>
          <w:lang w:val="en-AU"/>
        </w:rPr>
        <w:t xml:space="preserve">McMahon, Edward et al. 2013. The Universal Periodic Review: Do Civil Society Organisation-Suggested Recommendations Matter? </w:t>
      </w:r>
      <w:r w:rsidRPr="007102CB">
        <w:rPr>
          <w:rFonts w:ascii="Times New Roman" w:hAnsi="Times New Roman" w:cs="Times New Roman"/>
          <w:i/>
          <w:sz w:val="24"/>
          <w:szCs w:val="24"/>
          <w:lang w:val="en-AU"/>
        </w:rPr>
        <w:t>International Policy Analysis</w:t>
      </w:r>
      <w:r w:rsidRPr="007102CB">
        <w:rPr>
          <w:rFonts w:ascii="Times New Roman" w:hAnsi="Times New Roman" w:cs="Times New Roman"/>
          <w:iCs/>
          <w:sz w:val="24"/>
          <w:szCs w:val="24"/>
          <w:lang w:val="en-AU"/>
        </w:rPr>
        <w:t>:</w:t>
      </w:r>
      <w:r w:rsidRPr="007102CB">
        <w:rPr>
          <w:rFonts w:ascii="Times New Roman" w:hAnsi="Times New Roman" w:cs="Times New Roman"/>
          <w:i/>
          <w:sz w:val="24"/>
          <w:szCs w:val="24"/>
          <w:lang w:val="en-AU"/>
        </w:rPr>
        <w:t xml:space="preserve"> </w:t>
      </w:r>
      <w:r w:rsidRPr="007102CB">
        <w:rPr>
          <w:rFonts w:ascii="Times New Roman" w:hAnsi="Times New Roman" w:cs="Times New Roman"/>
          <w:sz w:val="24"/>
          <w:szCs w:val="24"/>
          <w:lang w:val="en-AU"/>
        </w:rPr>
        <w:t>1-14.</w:t>
      </w:r>
    </w:p>
    <w:p w14:paraId="6370F6B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Miller, Alice M. 2000. Women’s Human Rights NGOs and the Treaty Bodies: Some Case Studies in Using the Treaty Bodies to Protect the Human Rights of Women. In Anne Bayefsky (ed), </w:t>
      </w:r>
      <w:r w:rsidRPr="007102CB">
        <w:rPr>
          <w:rFonts w:ascii="Times New Roman" w:hAnsi="Times New Roman" w:cs="Times New Roman"/>
          <w:i/>
          <w:iCs/>
          <w:sz w:val="24"/>
          <w:szCs w:val="24"/>
        </w:rPr>
        <w:t>The UN Human Rights Treaty System in the 21 Century</w:t>
      </w:r>
      <w:r w:rsidRPr="007102CB">
        <w:rPr>
          <w:rFonts w:ascii="Times New Roman" w:hAnsi="Times New Roman" w:cs="Times New Roman"/>
          <w:sz w:val="24"/>
          <w:szCs w:val="24"/>
        </w:rPr>
        <w:t xml:space="preserve">, pp 195–207: Brill. </w:t>
      </w:r>
    </w:p>
    <w:p w14:paraId="7FB6280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Moss, Lawrence C. 2010. Opportunities for Nongovernmental Organization Advocacy in the Universal Periodic Review Process at the UN Human Rights Council. (2010) </w:t>
      </w:r>
      <w:r w:rsidRPr="007102CB">
        <w:rPr>
          <w:rFonts w:ascii="Times New Roman" w:hAnsi="Times New Roman" w:cs="Times New Roman"/>
          <w:i/>
          <w:iCs/>
          <w:sz w:val="24"/>
          <w:szCs w:val="24"/>
        </w:rPr>
        <w:t>Journal of Human Rights Practice</w:t>
      </w:r>
      <w:r w:rsidRPr="007102CB">
        <w:rPr>
          <w:rFonts w:ascii="Times New Roman" w:hAnsi="Times New Roman" w:cs="Times New Roman"/>
          <w:sz w:val="24"/>
          <w:szCs w:val="24"/>
        </w:rPr>
        <w:t xml:space="preserve"> 2(1): 122-150)</w:t>
      </w:r>
      <w:r w:rsidRPr="007102CB">
        <w:rPr>
          <w:rFonts w:ascii="Times New Roman" w:eastAsia="Calibri" w:hAnsi="Times New Roman" w:cs="Times New Roman"/>
          <w:sz w:val="24"/>
          <w:szCs w:val="24"/>
        </w:rPr>
        <w:t>.</w:t>
      </w:r>
    </w:p>
    <w:p w14:paraId="0A2B0C1C"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Mutua, M. 2002. </w:t>
      </w:r>
      <w:r w:rsidRPr="007102CB">
        <w:rPr>
          <w:rFonts w:ascii="Times New Roman" w:hAnsi="Times New Roman" w:cs="Times New Roman"/>
          <w:i/>
          <w:iCs/>
          <w:sz w:val="24"/>
          <w:szCs w:val="24"/>
        </w:rPr>
        <w:t>Human Rights: A Political and Cultural Critique</w:t>
      </w:r>
      <w:r w:rsidRPr="007102CB">
        <w:rPr>
          <w:rFonts w:ascii="Times New Roman" w:hAnsi="Times New Roman" w:cs="Times New Roman"/>
          <w:sz w:val="24"/>
          <w:szCs w:val="24"/>
        </w:rPr>
        <w:t>. University of Pennsylvania Press</w:t>
      </w:r>
    </w:p>
    <w:p w14:paraId="307C470B"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Nader, Lucia. 2007. The Role of NGOs in the he UN Human Rights Council. </w:t>
      </w:r>
      <w:r w:rsidRPr="007102CB">
        <w:rPr>
          <w:rFonts w:ascii="Times New Roman" w:hAnsi="Times New Roman" w:cs="Times New Roman"/>
          <w:i/>
          <w:iCs/>
          <w:sz w:val="24"/>
          <w:szCs w:val="24"/>
        </w:rPr>
        <w:t xml:space="preserve">International Human Rights Journal </w:t>
      </w:r>
      <w:r w:rsidRPr="007102CB">
        <w:rPr>
          <w:rFonts w:ascii="Times New Roman" w:hAnsi="Times New Roman" w:cs="Times New Roman"/>
          <w:sz w:val="24"/>
          <w:szCs w:val="24"/>
        </w:rPr>
        <w:t>7: 1-27.</w:t>
      </w:r>
    </w:p>
    <w:p w14:paraId="2ABE45AB"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Nazir, Amna, Storey, Alice and Yorke, Jon. 2024. The Universal Periodic Review as Utopia. In Damian </w:t>
      </w:r>
      <w:proofErr w:type="spellStart"/>
      <w:r w:rsidRPr="007102CB">
        <w:rPr>
          <w:rFonts w:ascii="Times New Roman" w:eastAsia="Calibri" w:hAnsi="Times New Roman" w:cs="Times New Roman"/>
          <w:sz w:val="24"/>
          <w:szCs w:val="24"/>
        </w:rPr>
        <w:t>Etone</w:t>
      </w:r>
      <w:proofErr w:type="spellEnd"/>
      <w:r w:rsidRPr="007102CB">
        <w:rPr>
          <w:rFonts w:ascii="Times New Roman" w:eastAsia="Calibri" w:hAnsi="Times New Roman" w:cs="Times New Roman"/>
          <w:sz w:val="24"/>
          <w:szCs w:val="24"/>
        </w:rPr>
        <w:t xml:space="preserve">, Amna Nazir, Alice Storey (eds.), </w:t>
      </w:r>
      <w:r w:rsidRPr="007102CB">
        <w:rPr>
          <w:rFonts w:ascii="Times New Roman" w:eastAsia="Calibri" w:hAnsi="Times New Roman" w:cs="Times New Roman"/>
          <w:i/>
          <w:iCs/>
          <w:sz w:val="24"/>
          <w:szCs w:val="24"/>
        </w:rPr>
        <w:t>Human Rights and the UN Universal Periodic Review Mechanism</w:t>
      </w:r>
      <w:r w:rsidRPr="007102CB">
        <w:rPr>
          <w:rFonts w:ascii="Times New Roman" w:eastAsia="Calibri" w:hAnsi="Times New Roman" w:cs="Times New Roman"/>
          <w:sz w:val="24"/>
          <w:szCs w:val="24"/>
        </w:rPr>
        <w:t>. Routledge.</w:t>
      </w:r>
    </w:p>
    <w:p w14:paraId="60836E56" w14:textId="77777777" w:rsidR="00B6059A" w:rsidRPr="007102CB" w:rsidRDefault="00B6059A" w:rsidP="005F38D1">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O’Flaherty, Michael. 2002. </w:t>
      </w:r>
      <w:r w:rsidRPr="007102CB">
        <w:rPr>
          <w:rFonts w:ascii="Times New Roman" w:hAnsi="Times New Roman" w:cs="Times New Roman"/>
          <w:i/>
          <w:iCs/>
          <w:sz w:val="24"/>
          <w:szCs w:val="24"/>
        </w:rPr>
        <w:t xml:space="preserve">Human Rights and the UN: Practice before the Treaty </w:t>
      </w:r>
      <w:r w:rsidRPr="007102CB">
        <w:rPr>
          <w:rFonts w:ascii="Times New Roman" w:hAnsi="Times New Roman" w:cs="Times New Roman"/>
          <w:sz w:val="24"/>
          <w:szCs w:val="24"/>
        </w:rPr>
        <w:t xml:space="preserve">Bodies. Kluwer Law International. </w:t>
      </w:r>
    </w:p>
    <w:p w14:paraId="2D2CC271"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Office of the Attorney General &amp; Department Of Justice. 2021. Implementation Plan (2021-2025) for the 3rd Cycle Recommendations Under The Universal Periodic Review Process (UPR). </w:t>
      </w:r>
      <w:hyperlink r:id="rId28" w:history="1">
        <w:r w:rsidRPr="007102CB">
          <w:rPr>
            <w:rStyle w:val="Hyperlink"/>
            <w:rFonts w:ascii="Times New Roman" w:eastAsia="Calibri" w:hAnsi="Times New Roman" w:cs="Times New Roman"/>
            <w:color w:val="auto"/>
            <w:sz w:val="24"/>
            <w:szCs w:val="24"/>
          </w:rPr>
          <w:t>https://statelaw.go.ke/wp-content/uploads/2022/04/3rd-Cycle-UPR-Implementation-Plan-2021-to-2025.pdf</w:t>
        </w:r>
      </w:hyperlink>
      <w:r w:rsidRPr="007102CB">
        <w:rPr>
          <w:rFonts w:ascii="Times New Roman" w:eastAsia="Calibri" w:hAnsi="Times New Roman" w:cs="Times New Roman"/>
          <w:sz w:val="24"/>
          <w:szCs w:val="24"/>
        </w:rPr>
        <w:t xml:space="preserve"> (referenced 26 April 2024).  </w:t>
      </w:r>
      <w:r w:rsidRPr="007102CB">
        <w:rPr>
          <w:rFonts w:ascii="Times New Roman" w:hAnsi="Times New Roman" w:cs="Times New Roman"/>
          <w:sz w:val="24"/>
          <w:szCs w:val="24"/>
        </w:rPr>
        <w:t xml:space="preserve"> </w:t>
      </w:r>
    </w:p>
    <w:p w14:paraId="223174F3"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lastRenderedPageBreak/>
        <w:t xml:space="preserve">OHCHR. 2020. Study on emerging Good Practices from the Universal Periodic Review (UPR). </w:t>
      </w:r>
      <w:hyperlink r:id="rId29">
        <w:r w:rsidRPr="007102CB">
          <w:rPr>
            <w:rStyle w:val="Hyperlink"/>
            <w:rFonts w:ascii="Times New Roman" w:eastAsia="Calibri" w:hAnsi="Times New Roman" w:cs="Times New Roman"/>
            <w:color w:val="auto"/>
            <w:sz w:val="24"/>
            <w:szCs w:val="24"/>
          </w:rPr>
          <w:t>https://www.ohchr.org/Documents/HRBodies/UPR/Emerging_UPR_GoodPractices.pdf</w:t>
        </w:r>
      </w:hyperlink>
      <w:r w:rsidRPr="007102CB">
        <w:rPr>
          <w:rFonts w:ascii="Times New Roman" w:eastAsia="Calibri" w:hAnsi="Times New Roman" w:cs="Times New Roman"/>
          <w:sz w:val="24"/>
          <w:szCs w:val="24"/>
        </w:rPr>
        <w:t xml:space="preserve"> (referenced 24 April 2024).  </w:t>
      </w:r>
      <w:r w:rsidRPr="007102CB">
        <w:rPr>
          <w:rFonts w:ascii="Times New Roman" w:hAnsi="Times New Roman" w:cs="Times New Roman"/>
          <w:sz w:val="24"/>
          <w:szCs w:val="24"/>
        </w:rPr>
        <w:t xml:space="preserve"> </w:t>
      </w:r>
    </w:p>
    <w:p w14:paraId="5E605C93"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OHCHR. 2021. Study on Emerging Good Practices from the Universal Periodic Review. chrome-extension://efaidnbmnnnibpcajpcglclefindmkaj/https://www.ohchr.org/sites/default/files/Documents/HRBodies/UPR/Emerging_UPR_GoodPractices.pdf. (referenced 30 December 2024).</w:t>
      </w:r>
    </w:p>
    <w:p w14:paraId="31CC6C7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OHCHR. Undated. Universal Periodic Review (Third Cycle): Information and guidelines for relevant stakeholders’ written submissions. chrome-extension://efaidnbmnnnibpcajpcglclefindmkaj/https://www.ohchr.org/sites/default/files/Documents/HRBodies/UPR/TechnicalGuideEN.pdf (referenced 30 December 2024).</w:t>
      </w:r>
    </w:p>
    <w:p w14:paraId="3C3874F6"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Roesdahl, Mie. 2017. Universal Periodic Review and its Limited Change Potential: Tracking the Complexity of Multiple Actors and Approaches to Human Rights Change through the Lens of the UPR Process of Nepal. </w:t>
      </w:r>
      <w:r w:rsidRPr="007102CB">
        <w:rPr>
          <w:rFonts w:ascii="Times New Roman" w:hAnsi="Times New Roman" w:cs="Times New Roman"/>
          <w:i/>
          <w:iCs/>
          <w:sz w:val="24"/>
          <w:szCs w:val="24"/>
        </w:rPr>
        <w:t>Journal of Human Rights Practice</w:t>
      </w:r>
      <w:r w:rsidRPr="007102CB">
        <w:rPr>
          <w:rFonts w:ascii="Times New Roman" w:hAnsi="Times New Roman" w:cs="Times New Roman"/>
          <w:sz w:val="24"/>
          <w:szCs w:val="24"/>
        </w:rPr>
        <w:t xml:space="preserve"> 9(3): 401-423.</w:t>
      </w:r>
    </w:p>
    <w:p w14:paraId="5CEBD25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Šahović</w:t>
      </w:r>
      <w:proofErr w:type="spellEnd"/>
      <w:r w:rsidRPr="007102CB">
        <w:rPr>
          <w:rFonts w:ascii="Times New Roman" w:hAnsi="Times New Roman" w:cs="Times New Roman"/>
          <w:sz w:val="24"/>
          <w:szCs w:val="24"/>
        </w:rPr>
        <w:t xml:space="preserve">, Nevena Vučković, Doek, J. E., and Zermatten, Jean. 2012. </w:t>
      </w:r>
      <w:r w:rsidRPr="007102CB">
        <w:rPr>
          <w:rFonts w:ascii="Times New Roman" w:hAnsi="Times New Roman" w:cs="Times New Roman"/>
          <w:i/>
          <w:iCs/>
          <w:sz w:val="24"/>
          <w:szCs w:val="24"/>
        </w:rPr>
        <w:t>The rights of the child in International Law</w:t>
      </w:r>
      <w:r w:rsidRPr="007102CB">
        <w:rPr>
          <w:rFonts w:ascii="Times New Roman" w:hAnsi="Times New Roman" w:cs="Times New Roman"/>
          <w:sz w:val="24"/>
          <w:szCs w:val="24"/>
        </w:rPr>
        <w:t xml:space="preserve">. Stampfli. </w:t>
      </w:r>
    </w:p>
    <w:p w14:paraId="5DF2212F"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Schmitz, Hans Peter and Sikkink, Kathryn. 2002. International Human Rights. In Walter Carlsnaes, Thomas Risse and Beth A. Simmons (eds.), </w:t>
      </w:r>
      <w:r w:rsidRPr="007102CB">
        <w:rPr>
          <w:rFonts w:ascii="Times New Roman" w:hAnsi="Times New Roman" w:cs="Times New Roman"/>
          <w:i/>
          <w:iCs/>
          <w:sz w:val="24"/>
          <w:szCs w:val="24"/>
        </w:rPr>
        <w:t>Handbook of International Relations</w:t>
      </w:r>
      <w:r w:rsidRPr="007102CB">
        <w:rPr>
          <w:rFonts w:ascii="Times New Roman" w:hAnsi="Times New Roman" w:cs="Times New Roman"/>
          <w:sz w:val="24"/>
          <w:szCs w:val="24"/>
        </w:rPr>
        <w:t xml:space="preserve"> pp. 827-851: Sage.</w:t>
      </w:r>
    </w:p>
    <w:p w14:paraId="2CEFFB64"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Schokman, Ben and Lynch, Phil. 2015. Effective NGO engagement with the Universal Periodic Review. In Hilary Charlesworth and Emma Larking (Eds), </w:t>
      </w:r>
      <w:r w:rsidRPr="007102CB">
        <w:rPr>
          <w:rFonts w:ascii="Times New Roman" w:hAnsi="Times New Roman" w:cs="Times New Roman"/>
          <w:i/>
          <w:iCs/>
          <w:sz w:val="24"/>
          <w:szCs w:val="24"/>
        </w:rPr>
        <w:t>Human Rights and the Universal Periodic Review: Rituals and Ritualism</w:t>
      </w:r>
      <w:r w:rsidRPr="007102CB">
        <w:rPr>
          <w:rFonts w:ascii="Times New Roman" w:hAnsi="Times New Roman" w:cs="Times New Roman"/>
          <w:sz w:val="24"/>
          <w:szCs w:val="24"/>
        </w:rPr>
        <w:t>, pp 126 – 146: Cambridge University Press.</w:t>
      </w:r>
    </w:p>
    <w:p w14:paraId="4D11526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Sky News. 2018. Oxfam scandal: Haiti official was sacked by charity over ‘inappropriate behaviour’. </w:t>
      </w:r>
      <w:hyperlink r:id="rId30" w:history="1">
        <w:r w:rsidRPr="007102CB">
          <w:rPr>
            <w:rStyle w:val="Hyperlink"/>
            <w:rFonts w:ascii="Times New Roman" w:hAnsi="Times New Roman" w:cs="Times New Roman"/>
            <w:color w:val="auto"/>
            <w:sz w:val="24"/>
            <w:szCs w:val="24"/>
          </w:rPr>
          <w:t>https://news.sky.com/story/oxfam-scandal-haiti-official-sacked-by-charity-over-inappropriate-behaviour-11250718</w:t>
        </w:r>
      </w:hyperlink>
      <w:r w:rsidRPr="007102CB">
        <w:rPr>
          <w:rStyle w:val="Hyperlink"/>
          <w:rFonts w:ascii="Times New Roman" w:hAnsi="Times New Roman" w:cs="Times New Roman"/>
          <w:color w:val="auto"/>
          <w:sz w:val="24"/>
          <w:szCs w:val="24"/>
          <w:u w:val="none"/>
        </w:rPr>
        <w:t xml:space="preserve"> (referenced 30 December 2024)</w:t>
      </w:r>
    </w:p>
    <w:p w14:paraId="2C93FA1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Slim, Hugo. 2002. By What Authority? The Legitimacy and Accountability of Non-governmental Organisations. </w:t>
      </w:r>
      <w:r w:rsidRPr="007102CB">
        <w:rPr>
          <w:rFonts w:ascii="Times New Roman" w:hAnsi="Times New Roman" w:cs="Times New Roman"/>
          <w:i/>
          <w:iCs/>
          <w:sz w:val="24"/>
          <w:szCs w:val="24"/>
        </w:rPr>
        <w:t>International Council on Human Rights Policy</w:t>
      </w:r>
      <w:r w:rsidRPr="007102CB">
        <w:rPr>
          <w:rFonts w:ascii="Times New Roman" w:hAnsi="Times New Roman" w:cs="Times New Roman"/>
          <w:sz w:val="24"/>
          <w:szCs w:val="24"/>
        </w:rPr>
        <w:t>.</w:t>
      </w:r>
      <w:r w:rsidRPr="007102CB">
        <w:rPr>
          <w:rFonts w:ascii="Times New Roman" w:hAnsi="Times New Roman" w:cs="Times New Roman"/>
          <w:i/>
          <w:iCs/>
          <w:sz w:val="24"/>
          <w:szCs w:val="24"/>
        </w:rPr>
        <w:t xml:space="preserve"> </w:t>
      </w:r>
      <w:hyperlink r:id="rId31" w:history="1">
        <w:r w:rsidRPr="007102CB">
          <w:rPr>
            <w:rStyle w:val="Hyperlink"/>
            <w:rFonts w:ascii="Times New Roman" w:hAnsi="Times New Roman" w:cs="Times New Roman"/>
            <w:color w:val="auto"/>
            <w:sz w:val="24"/>
            <w:szCs w:val="24"/>
          </w:rPr>
          <w:t>https://www.gdrc.org/ngo/accountability/by-what-authority.html</w:t>
        </w:r>
      </w:hyperlink>
      <w:r w:rsidRPr="007102CB">
        <w:rPr>
          <w:rFonts w:ascii="Times New Roman" w:hAnsi="Times New Roman" w:cs="Times New Roman"/>
          <w:i/>
          <w:iCs/>
          <w:sz w:val="24"/>
          <w:szCs w:val="24"/>
        </w:rPr>
        <w:t xml:space="preserve">  </w:t>
      </w:r>
      <w:r w:rsidRPr="007102CB">
        <w:rPr>
          <w:rFonts w:ascii="Times New Roman" w:hAnsi="Times New Roman" w:cs="Times New Roman"/>
          <w:sz w:val="24"/>
          <w:szCs w:val="24"/>
        </w:rPr>
        <w:t>(referenced 30 December 2024).</w:t>
      </w:r>
    </w:p>
    <w:p w14:paraId="0B8C6504" w14:textId="125A9328" w:rsidR="007B72D0" w:rsidRPr="00E55326" w:rsidRDefault="007B72D0" w:rsidP="00A429CA">
      <w:pPr>
        <w:pStyle w:val="FootnoteText"/>
        <w:spacing w:before="100" w:beforeAutospacing="1" w:after="100" w:afterAutospacing="1"/>
        <w:jc w:val="both"/>
        <w:rPr>
          <w:rFonts w:ascii="Times New Roman" w:hAnsi="Times New Roman" w:cs="Times New Roman"/>
          <w:sz w:val="24"/>
          <w:szCs w:val="24"/>
        </w:rPr>
      </w:pPr>
      <w:r w:rsidRPr="007B72D0">
        <w:rPr>
          <w:rFonts w:ascii="Times New Roman" w:hAnsi="Times New Roman" w:cs="Times New Roman"/>
          <w:sz w:val="24"/>
          <w:szCs w:val="24"/>
        </w:rPr>
        <w:t>Storey, Alice</w:t>
      </w:r>
      <w:r>
        <w:rPr>
          <w:rFonts w:ascii="Times New Roman" w:hAnsi="Times New Roman" w:cs="Times New Roman"/>
          <w:sz w:val="24"/>
          <w:szCs w:val="24"/>
        </w:rPr>
        <w:t xml:space="preserve">. </w:t>
      </w:r>
      <w:r w:rsidRPr="007B72D0">
        <w:rPr>
          <w:rFonts w:ascii="Times New Roman" w:hAnsi="Times New Roman" w:cs="Times New Roman"/>
          <w:sz w:val="24"/>
          <w:szCs w:val="24"/>
        </w:rPr>
        <w:t>2025</w:t>
      </w:r>
      <w:r>
        <w:rPr>
          <w:rFonts w:ascii="Times New Roman" w:hAnsi="Times New Roman" w:cs="Times New Roman"/>
          <w:sz w:val="24"/>
          <w:szCs w:val="24"/>
        </w:rPr>
        <w:t>.</w:t>
      </w:r>
      <w:r w:rsidRPr="007B72D0">
        <w:rPr>
          <w:rFonts w:ascii="Times New Roman" w:hAnsi="Times New Roman" w:cs="Times New Roman"/>
          <w:sz w:val="24"/>
          <w:szCs w:val="24"/>
        </w:rPr>
        <w:t> </w:t>
      </w:r>
      <w:r w:rsidRPr="007B72D0">
        <w:rPr>
          <w:rFonts w:ascii="Times New Roman" w:hAnsi="Times New Roman" w:cs="Times New Roman"/>
          <w:i/>
          <w:iCs/>
          <w:sz w:val="24"/>
          <w:szCs w:val="24"/>
        </w:rPr>
        <w:t>The UN’s Universal Periodic Review and FGM in Somalia: The Value of Civil Society Recommendations.</w:t>
      </w:r>
      <w:r w:rsidRPr="007B72D0">
        <w:rPr>
          <w:rFonts w:ascii="Times New Roman" w:hAnsi="Times New Roman" w:cs="Times New Roman"/>
          <w:sz w:val="24"/>
          <w:szCs w:val="24"/>
        </w:rPr>
        <w:t> </w:t>
      </w:r>
      <w:r w:rsidRPr="00E55326">
        <w:rPr>
          <w:rFonts w:ascii="Times New Roman" w:hAnsi="Times New Roman" w:cs="Times New Roman"/>
          <w:i/>
          <w:iCs/>
          <w:sz w:val="24"/>
          <w:szCs w:val="24"/>
        </w:rPr>
        <w:t>African Human Rights Law Journal</w:t>
      </w:r>
      <w:r w:rsidR="00E55326">
        <w:rPr>
          <w:rFonts w:ascii="Times New Roman" w:hAnsi="Times New Roman" w:cs="Times New Roman"/>
          <w:sz w:val="24"/>
          <w:szCs w:val="24"/>
        </w:rPr>
        <w:t xml:space="preserve"> 25:</w:t>
      </w:r>
      <w:r w:rsidR="009B72AD">
        <w:rPr>
          <w:rFonts w:ascii="Times New Roman" w:hAnsi="Times New Roman" w:cs="Times New Roman"/>
          <w:sz w:val="24"/>
          <w:szCs w:val="24"/>
        </w:rPr>
        <w:t>302-331.</w:t>
      </w:r>
    </w:p>
    <w:p w14:paraId="4034CED4"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Storey, Alice and Oleschuk, Melisa.</w:t>
      </w:r>
      <w:r w:rsidRPr="007102CB">
        <w:rPr>
          <w:rFonts w:ascii="Times New Roman" w:hAnsi="Times New Roman" w:cs="Times New Roman"/>
          <w:i/>
          <w:iCs/>
          <w:sz w:val="24"/>
          <w:szCs w:val="24"/>
        </w:rPr>
        <w:t xml:space="preserve"> </w:t>
      </w:r>
      <w:r w:rsidRPr="007102CB">
        <w:rPr>
          <w:rFonts w:ascii="Times New Roman" w:hAnsi="Times New Roman" w:cs="Times New Roman"/>
          <w:sz w:val="24"/>
          <w:szCs w:val="24"/>
        </w:rPr>
        <w:t xml:space="preserve"> 2023. Empowering Civil Society Organisations at the UPR. </w:t>
      </w:r>
      <w:hyperlink r:id="rId32" w:history="1">
        <w:r w:rsidRPr="007102CB">
          <w:rPr>
            <w:rStyle w:val="Hyperlink"/>
            <w:rFonts w:ascii="Times New Roman" w:hAnsi="Times New Roman" w:cs="Times New Roman"/>
            <w:color w:val="auto"/>
            <w:sz w:val="24"/>
            <w:szCs w:val="24"/>
          </w:rPr>
          <w:t>https://bcuassets.blob.core.windows.net/docs/empowering-csos-at-the-upr-full-report-133680282970363754.pdf</w:t>
        </w:r>
      </w:hyperlink>
      <w:r w:rsidRPr="007102CB">
        <w:rPr>
          <w:rFonts w:ascii="Times New Roman" w:hAnsi="Times New Roman" w:cs="Times New Roman"/>
          <w:sz w:val="24"/>
          <w:szCs w:val="24"/>
        </w:rPr>
        <w:t xml:space="preserve"> (referenced 10 October 2024) </w:t>
      </w:r>
    </w:p>
    <w:p w14:paraId="44EF6C9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Terman, Rochelle and Byun, Joshua. 2022. Punishment and Politicization in the International Human Rights Regime.  </w:t>
      </w:r>
      <w:r w:rsidRPr="007102CB">
        <w:rPr>
          <w:rFonts w:ascii="Times New Roman" w:hAnsi="Times New Roman" w:cs="Times New Roman"/>
          <w:i/>
          <w:iCs/>
          <w:sz w:val="24"/>
          <w:szCs w:val="24"/>
        </w:rPr>
        <w:t>American Political Science Review</w:t>
      </w:r>
      <w:r w:rsidRPr="007102CB">
        <w:rPr>
          <w:rFonts w:ascii="Times New Roman" w:hAnsi="Times New Roman" w:cs="Times New Roman"/>
          <w:sz w:val="24"/>
          <w:szCs w:val="24"/>
        </w:rPr>
        <w:t xml:space="preserve"> 116(2):385-402.</w:t>
      </w:r>
    </w:p>
    <w:p w14:paraId="53407BD9"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Calibri" w:hAnsi="Times New Roman" w:cs="Times New Roman"/>
          <w:sz w:val="24"/>
          <w:szCs w:val="24"/>
        </w:rPr>
        <w:t xml:space="preserve">The East African Centre for Human Rights. The Universal Periodic Review.  </w:t>
      </w:r>
      <w:hyperlink r:id="rId33" w:anchor=":~:text=Kenya's%20Stakeholders%20Coalition%20on%20the,on%20Human%20Rights%20(OHCHR)" w:history="1">
        <w:r w:rsidRPr="007102CB">
          <w:rPr>
            <w:rStyle w:val="Hyperlink"/>
            <w:rFonts w:ascii="Times New Roman" w:eastAsia="Calibri" w:hAnsi="Times New Roman" w:cs="Times New Roman"/>
            <w:color w:val="auto"/>
            <w:sz w:val="24"/>
            <w:szCs w:val="24"/>
          </w:rPr>
          <w:t>https://www.eachrights.or.ke/universal-periodic-</w:t>
        </w:r>
        <w:r w:rsidRPr="007102CB">
          <w:rPr>
            <w:rStyle w:val="Hyperlink"/>
            <w:rFonts w:ascii="Times New Roman" w:eastAsia="Calibri" w:hAnsi="Times New Roman" w:cs="Times New Roman"/>
            <w:color w:val="auto"/>
            <w:sz w:val="24"/>
            <w:szCs w:val="24"/>
          </w:rPr>
          <w:lastRenderedPageBreak/>
          <w:t>review/#:~:text=Kenya's%20Stakeholders%20Coalition%20on%20the,on%20Human%20Rights%20(OHCHR)</w:t>
        </w:r>
      </w:hyperlink>
      <w:r w:rsidRPr="007102CB">
        <w:rPr>
          <w:rFonts w:ascii="Times New Roman" w:eastAsia="Calibri" w:hAnsi="Times New Roman" w:cs="Times New Roman"/>
          <w:sz w:val="24"/>
          <w:szCs w:val="24"/>
        </w:rPr>
        <w:t xml:space="preserve"> (referenced 21 April 2024). </w:t>
      </w:r>
    </w:p>
    <w:p w14:paraId="6BDC2592"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Theytaz-Bergman, Laura. 2000. State Reporting and the Role of Non-Governmental Organizations. In Anne Bayefsky (ed), </w:t>
      </w:r>
      <w:r w:rsidRPr="007102CB">
        <w:rPr>
          <w:rFonts w:ascii="Times New Roman" w:hAnsi="Times New Roman" w:cs="Times New Roman"/>
          <w:i/>
          <w:iCs/>
          <w:sz w:val="24"/>
          <w:szCs w:val="24"/>
        </w:rPr>
        <w:t>The UN Human Rights Treaty System in the 21 Century</w:t>
      </w:r>
      <w:r w:rsidRPr="007102CB">
        <w:rPr>
          <w:rFonts w:ascii="Times New Roman" w:hAnsi="Times New Roman" w:cs="Times New Roman"/>
          <w:sz w:val="24"/>
          <w:szCs w:val="24"/>
        </w:rPr>
        <w:t>, 45-56: Brill.</w:t>
      </w:r>
    </w:p>
    <w:p w14:paraId="779A47E6"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Theytaz-Bergman, Laura. 2007. NGO reporting under the Convention on the Rights of the Child. Conference presentation Amsterdam. </w:t>
      </w:r>
    </w:p>
    <w:p w14:paraId="74C5381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Thomas, C. 2009. Evaluation at Minority Rights Group. </w:t>
      </w:r>
      <w:r w:rsidRPr="007102CB">
        <w:rPr>
          <w:rFonts w:ascii="Times New Roman" w:hAnsi="Times New Roman" w:cs="Times New Roman"/>
          <w:i/>
          <w:iCs/>
          <w:sz w:val="24"/>
          <w:szCs w:val="24"/>
        </w:rPr>
        <w:t>Journal of Human Rights Practice</w:t>
      </w:r>
      <w:r w:rsidRPr="007102CB">
        <w:rPr>
          <w:rFonts w:ascii="Times New Roman" w:hAnsi="Times New Roman" w:cs="Times New Roman"/>
          <w:sz w:val="24"/>
          <w:szCs w:val="24"/>
        </w:rPr>
        <w:t xml:space="preserve"> 1(3):488-498.</w:t>
      </w:r>
    </w:p>
    <w:p w14:paraId="4D06B096"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Tistounet</w:t>
      </w:r>
      <w:proofErr w:type="spellEnd"/>
      <w:r w:rsidRPr="007102CB">
        <w:rPr>
          <w:rFonts w:ascii="Times New Roman" w:hAnsi="Times New Roman" w:cs="Times New Roman"/>
          <w:sz w:val="24"/>
          <w:szCs w:val="24"/>
        </w:rPr>
        <w:t xml:space="preserve">, Eric. 2020. </w:t>
      </w:r>
      <w:r w:rsidRPr="007102CB">
        <w:rPr>
          <w:rFonts w:ascii="Times New Roman" w:hAnsi="Times New Roman" w:cs="Times New Roman"/>
          <w:i/>
          <w:iCs/>
          <w:sz w:val="24"/>
          <w:szCs w:val="24"/>
        </w:rPr>
        <w:t>The UN Human Rights Council : A Practical Anatomy</w:t>
      </w:r>
      <w:r w:rsidRPr="007102CB">
        <w:rPr>
          <w:rFonts w:ascii="Times New Roman" w:hAnsi="Times New Roman" w:cs="Times New Roman"/>
          <w:sz w:val="24"/>
          <w:szCs w:val="24"/>
        </w:rPr>
        <w:t>. Edward Elgar Publishing Limited.</w:t>
      </w:r>
    </w:p>
    <w:p w14:paraId="14B154AB" w14:textId="77777777" w:rsidR="00B6059A" w:rsidRPr="007102CB" w:rsidRDefault="00B6059A" w:rsidP="00A429CA">
      <w:pPr>
        <w:spacing w:before="100" w:beforeAutospacing="1" w:after="100" w:afterAutospacing="1" w:line="240" w:lineRule="auto"/>
        <w:jc w:val="both"/>
        <w:rPr>
          <w:rFonts w:ascii="Times New Roman" w:hAnsi="Times New Roman" w:cs="Times New Roman"/>
          <w:sz w:val="24"/>
          <w:szCs w:val="24"/>
        </w:rPr>
      </w:pPr>
      <w:r w:rsidRPr="007102CB">
        <w:rPr>
          <w:rFonts w:ascii="Times New Roman" w:hAnsi="Times New Roman" w:cs="Times New Roman"/>
          <w:sz w:val="24"/>
          <w:szCs w:val="24"/>
        </w:rPr>
        <w:t xml:space="preserve">Traglia, Francesca P. Non-Confrontational Human Rights Advocacy: Experiences from the UPR Process in Myanmar. In James Gomez and Robin Ramcharan (eds), </w:t>
      </w:r>
      <w:r w:rsidRPr="007102CB">
        <w:rPr>
          <w:rFonts w:ascii="Times New Roman" w:hAnsi="Times New Roman" w:cs="Times New Roman"/>
          <w:i/>
          <w:iCs/>
          <w:sz w:val="24"/>
          <w:szCs w:val="24"/>
        </w:rPr>
        <w:t>The Universal Periodic Review of Southeast Asia: Civil Society Perspectives</w:t>
      </w:r>
      <w:r w:rsidRPr="007102CB">
        <w:rPr>
          <w:rFonts w:ascii="Times New Roman" w:hAnsi="Times New Roman" w:cs="Times New Roman"/>
          <w:sz w:val="24"/>
          <w:szCs w:val="24"/>
        </w:rPr>
        <w:t>, pp 171-183 Palgrave Macmillan.</w:t>
      </w:r>
    </w:p>
    <w:p w14:paraId="7209E65B" w14:textId="4F83445A"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lang w:val="en-AU"/>
        </w:rPr>
        <w:t>UN Human Rights Council. 2007</w:t>
      </w:r>
      <w:r w:rsidR="00D56A8F" w:rsidRPr="007102CB">
        <w:rPr>
          <w:rFonts w:ascii="Times New Roman" w:hAnsi="Times New Roman" w:cs="Times New Roman"/>
          <w:sz w:val="24"/>
          <w:szCs w:val="24"/>
          <w:lang w:val="en-AU"/>
        </w:rPr>
        <w:t>a</w:t>
      </w:r>
      <w:r w:rsidRPr="007102CB">
        <w:rPr>
          <w:rFonts w:ascii="Times New Roman" w:hAnsi="Times New Roman" w:cs="Times New Roman"/>
          <w:sz w:val="24"/>
          <w:szCs w:val="24"/>
          <w:lang w:val="en-AU"/>
        </w:rPr>
        <w:t>. Oral Statement by the European Union on the Universal Periodic Review.</w:t>
      </w:r>
    </w:p>
    <w:p w14:paraId="00D720C8" w14:textId="4DE7E2B7" w:rsidR="00B6059A" w:rsidRPr="007102CB" w:rsidRDefault="00B6059A" w:rsidP="00A429CA">
      <w:pPr>
        <w:pStyle w:val="FootnoteText"/>
        <w:spacing w:before="100" w:beforeAutospacing="1" w:after="100" w:afterAutospacing="1"/>
        <w:jc w:val="both"/>
        <w:rPr>
          <w:rFonts w:ascii="Times New Roman" w:hAnsi="Times New Roman" w:cs="Times New Roman"/>
          <w:iCs/>
          <w:sz w:val="24"/>
          <w:szCs w:val="24"/>
          <w:lang w:val="en-AU"/>
        </w:rPr>
      </w:pPr>
      <w:r w:rsidRPr="007102CB">
        <w:rPr>
          <w:rFonts w:ascii="Times New Roman" w:hAnsi="Times New Roman" w:cs="Times New Roman"/>
          <w:sz w:val="24"/>
          <w:szCs w:val="24"/>
        </w:rPr>
        <w:t>UN Human Rights Council. 2007</w:t>
      </w:r>
      <w:r w:rsidR="008C4AFF" w:rsidRPr="007102CB">
        <w:rPr>
          <w:rFonts w:ascii="Times New Roman" w:hAnsi="Times New Roman" w:cs="Times New Roman"/>
          <w:sz w:val="24"/>
          <w:szCs w:val="24"/>
        </w:rPr>
        <w:t>b</w:t>
      </w:r>
      <w:r w:rsidRPr="007102CB">
        <w:rPr>
          <w:rFonts w:ascii="Times New Roman" w:hAnsi="Times New Roman" w:cs="Times New Roman"/>
          <w:sz w:val="24"/>
          <w:szCs w:val="24"/>
        </w:rPr>
        <w:t xml:space="preserve">. </w:t>
      </w:r>
      <w:r w:rsidRPr="007102CB">
        <w:rPr>
          <w:rFonts w:ascii="Times New Roman" w:hAnsi="Times New Roman" w:cs="Times New Roman"/>
          <w:iCs/>
          <w:sz w:val="24"/>
          <w:szCs w:val="24"/>
          <w:lang w:val="en-AU"/>
        </w:rPr>
        <w:t xml:space="preserve">Res. 5/1. </w:t>
      </w:r>
      <w:r w:rsidRPr="007102CB">
        <w:rPr>
          <w:rFonts w:ascii="Times New Roman" w:hAnsi="Times New Roman" w:cs="Times New Roman"/>
          <w:sz w:val="24"/>
          <w:szCs w:val="24"/>
          <w:lang w:val="en-AU"/>
        </w:rPr>
        <w:t>Institution Building of the United Nations Human Rights Council.</w:t>
      </w:r>
      <w:r w:rsidRPr="007102CB">
        <w:rPr>
          <w:rFonts w:ascii="Times New Roman" w:hAnsi="Times New Roman" w:cs="Times New Roman"/>
          <w:iCs/>
          <w:sz w:val="24"/>
          <w:szCs w:val="24"/>
          <w:lang w:val="en-AU"/>
        </w:rPr>
        <w:t xml:space="preserve"> Adopted 18 June. A/HRC/RES/5/1.</w:t>
      </w:r>
    </w:p>
    <w:p w14:paraId="5811458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UN Human Rights Council. 2013. Civil society space: creating and maintaining, in law and in practice, a safe and enabling environment. A/HRC/RES/24/21.</w:t>
      </w:r>
    </w:p>
    <w:p w14:paraId="29A59168"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UN Human Rights Council. 2014. Civil Society Space. A/HRC/RES/27/31. </w:t>
      </w:r>
    </w:p>
    <w:p w14:paraId="4FC812A7"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UN Human Rights Council. 2016. Report of the Special Rapporteur on the rights to freedom of peaceful assembly and of association on his mission to the Republic of Korea. A/HRC/32/36/Add.2.</w:t>
      </w:r>
    </w:p>
    <w:p w14:paraId="498082A2"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UN Human Rights Council. 2018. Report of the Working Group on the Universal Periodic Review – Zambia. A/HRC/37/14.</w:t>
      </w:r>
    </w:p>
    <w:p w14:paraId="62206541"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UN Human Rights Council. 2020. Report of the Working Group on the Universal Periodic Review – Kenya. A/HRC/44/9.</w:t>
      </w:r>
    </w:p>
    <w:p w14:paraId="2007C16F" w14:textId="77777777" w:rsidR="00B6059A" w:rsidRPr="007102CB" w:rsidRDefault="00B6059A" w:rsidP="00A429CA">
      <w:pPr>
        <w:spacing w:before="100" w:beforeAutospacing="1" w:after="100" w:afterAutospacing="1" w:line="240" w:lineRule="auto"/>
        <w:jc w:val="both"/>
        <w:rPr>
          <w:rFonts w:ascii="Times New Roman" w:hAnsi="Times New Roman" w:cs="Times New Roman"/>
          <w:sz w:val="24"/>
          <w:szCs w:val="24"/>
        </w:rPr>
      </w:pPr>
      <w:r w:rsidRPr="007102CB">
        <w:rPr>
          <w:rFonts w:ascii="Times New Roman" w:hAnsi="Times New Roman" w:cs="Times New Roman"/>
          <w:sz w:val="24"/>
          <w:szCs w:val="24"/>
        </w:rPr>
        <w:t>UN Human Rights Council. 2023. Report of the Working Group on the Universal Periodic Review – Zambia. A/HRC/53/14.</w:t>
      </w:r>
    </w:p>
    <w:p w14:paraId="2E722F3B"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UN Human Rights Council. 2024. Report of the Secretary General: Cooperation with the United Nations, its representatives and mechanisms in the field of human rights. A/HRC/57/60</w:t>
      </w:r>
    </w:p>
    <w:p w14:paraId="6D8AC0AC" w14:textId="77777777" w:rsidR="00B6059A" w:rsidRPr="007102CB" w:rsidRDefault="00B6059A" w:rsidP="00B6059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UNESCO. 2022. The Universal Periodic Review (UPR) and its potential to foster freedom of expression, access to information and safety of journalists: factsheet on smart </w:t>
      </w:r>
      <w:r w:rsidRPr="007102CB">
        <w:rPr>
          <w:rFonts w:ascii="Times New Roman" w:hAnsi="Times New Roman" w:cs="Times New Roman"/>
          <w:sz w:val="24"/>
          <w:szCs w:val="24"/>
        </w:rPr>
        <w:lastRenderedPageBreak/>
        <w:t xml:space="preserve">recommendations for civil society organizations. </w:t>
      </w:r>
      <w:r w:rsidRPr="007102CB">
        <w:rPr>
          <w:rStyle w:val="Hyperlink"/>
          <w:rFonts w:ascii="Times New Roman" w:hAnsi="Times New Roman" w:cs="Times New Roman"/>
          <w:color w:val="auto"/>
          <w:sz w:val="24"/>
          <w:szCs w:val="24"/>
        </w:rPr>
        <w:t>https://unesdoc.unesco.org/ark:/48223/pf0000382048</w:t>
      </w:r>
      <w:r w:rsidRPr="007102CB">
        <w:rPr>
          <w:rFonts w:ascii="Times New Roman" w:hAnsi="Times New Roman" w:cs="Times New Roman"/>
          <w:sz w:val="24"/>
          <w:szCs w:val="24"/>
        </w:rPr>
        <w:t xml:space="preserve"> (referenced 30 December 2024).</w:t>
      </w:r>
    </w:p>
    <w:p w14:paraId="7F0E894E"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UNHCR and SAVE THE CHILDREN. 2002. Note for Implementing </w:t>
      </w:r>
      <w:proofErr w:type="spellStart"/>
      <w:r w:rsidRPr="007102CB">
        <w:rPr>
          <w:rFonts w:ascii="Times New Roman" w:hAnsi="Times New Roman" w:cs="Times New Roman"/>
          <w:sz w:val="24"/>
          <w:szCs w:val="24"/>
        </w:rPr>
        <w:t>Partnrs</w:t>
      </w:r>
      <w:proofErr w:type="spellEnd"/>
      <w:r w:rsidRPr="007102CB">
        <w:rPr>
          <w:rFonts w:ascii="Times New Roman" w:hAnsi="Times New Roman" w:cs="Times New Roman"/>
          <w:sz w:val="24"/>
          <w:szCs w:val="24"/>
        </w:rPr>
        <w:t xml:space="preserve"> on Sexual violence and exploitation: The experience of refugee children in Liberia, Guinea and Sierra Leone. </w:t>
      </w:r>
      <w:hyperlink r:id="rId34" w:history="1">
        <w:r w:rsidRPr="007102CB">
          <w:rPr>
            <w:rStyle w:val="Hyperlink"/>
            <w:rFonts w:ascii="Times New Roman" w:hAnsi="Times New Roman" w:cs="Times New Roman"/>
            <w:color w:val="auto"/>
            <w:sz w:val="24"/>
            <w:szCs w:val="24"/>
          </w:rPr>
          <w:t>https://www.unhcr.org/media/26892</w:t>
        </w:r>
      </w:hyperlink>
      <w:r w:rsidRPr="007102CB">
        <w:rPr>
          <w:rFonts w:ascii="Times New Roman" w:hAnsi="Times New Roman" w:cs="Times New Roman"/>
          <w:sz w:val="24"/>
          <w:szCs w:val="24"/>
        </w:rPr>
        <w:t xml:space="preserve"> (referenced 30 December 2024).</w:t>
      </w:r>
    </w:p>
    <w:p w14:paraId="6BB67B3B"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United Nations. 1945. Charter of the United Nations. Adopted 24 October 1945. </w:t>
      </w:r>
    </w:p>
    <w:p w14:paraId="52A2770D" w14:textId="1E6E191B"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UPR Info. 2015</w:t>
      </w:r>
      <w:r w:rsidR="00106FF0" w:rsidRPr="007102CB">
        <w:rPr>
          <w:rFonts w:ascii="Times New Roman" w:hAnsi="Times New Roman" w:cs="Times New Roman"/>
          <w:sz w:val="24"/>
          <w:szCs w:val="24"/>
        </w:rPr>
        <w:t>a</w:t>
      </w:r>
      <w:r w:rsidRPr="007102CB">
        <w:rPr>
          <w:rFonts w:ascii="Times New Roman" w:hAnsi="Times New Roman" w:cs="Times New Roman"/>
          <w:sz w:val="24"/>
          <w:szCs w:val="24"/>
        </w:rPr>
        <w:t xml:space="preserve">. For impact on the ground the UPR needs SMART recommendations. </w:t>
      </w:r>
      <w:hyperlink r:id="rId35" w:history="1">
        <w:r w:rsidRPr="007102CB">
          <w:rPr>
            <w:rStyle w:val="Hyperlink"/>
            <w:rFonts w:ascii="Times New Roman" w:hAnsi="Times New Roman" w:cs="Times New Roman"/>
            <w:color w:val="auto"/>
            <w:sz w:val="24"/>
            <w:szCs w:val="24"/>
          </w:rPr>
          <w:t>https://bit.ly/3GBLJ70</w:t>
        </w:r>
        <w:r w:rsidRPr="007102CB">
          <w:rPr>
            <w:rStyle w:val="Hyperlink"/>
            <w:rFonts w:ascii="Times New Roman" w:hAnsi="Times New Roman" w:cs="Times New Roman"/>
            <w:color w:val="auto"/>
            <w:sz w:val="24"/>
            <w:szCs w:val="24"/>
            <w:u w:val="none"/>
          </w:rPr>
          <w:t xml:space="preserve"> (30</w:t>
        </w:r>
      </w:hyperlink>
      <w:r w:rsidRPr="007102CB">
        <w:rPr>
          <w:rFonts w:ascii="Times New Roman" w:hAnsi="Times New Roman" w:cs="Times New Roman"/>
          <w:sz w:val="24"/>
          <w:szCs w:val="24"/>
        </w:rPr>
        <w:t xml:space="preserve"> December 20204). </w:t>
      </w:r>
    </w:p>
    <w:p w14:paraId="3DBE07DD" w14:textId="00C5E586"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iCs/>
          <w:sz w:val="24"/>
          <w:szCs w:val="24"/>
          <w:lang w:val="en-AU"/>
        </w:rPr>
        <w:t>UPR Info. 2015</w:t>
      </w:r>
      <w:r w:rsidR="00106FF0" w:rsidRPr="007102CB">
        <w:rPr>
          <w:rFonts w:ascii="Times New Roman" w:hAnsi="Times New Roman" w:cs="Times New Roman"/>
          <w:iCs/>
          <w:sz w:val="24"/>
          <w:szCs w:val="24"/>
          <w:lang w:val="en-AU"/>
        </w:rPr>
        <w:t>b</w:t>
      </w:r>
      <w:r w:rsidRPr="007102CB">
        <w:rPr>
          <w:rFonts w:ascii="Times New Roman" w:hAnsi="Times New Roman" w:cs="Times New Roman"/>
          <w:iCs/>
          <w:sz w:val="24"/>
          <w:szCs w:val="24"/>
          <w:lang w:val="en-AU"/>
        </w:rPr>
        <w:t xml:space="preserve">. Identifying best practices:  An Analysis of National Reports. </w:t>
      </w:r>
      <w:hyperlink r:id="rId36" w:history="1">
        <w:r w:rsidRPr="007102CB">
          <w:rPr>
            <w:rStyle w:val="Hyperlink"/>
            <w:rFonts w:ascii="Times New Roman" w:hAnsi="Times New Roman" w:cs="Times New Roman"/>
            <w:color w:val="auto"/>
            <w:sz w:val="24"/>
            <w:szCs w:val="24"/>
          </w:rPr>
          <w:t>https://upr.info/sites/default/files/documents/2015-11/upr_info_identifying_best_practices_in_national_reports_2015.pdf</w:t>
        </w:r>
      </w:hyperlink>
      <w:r w:rsidRPr="007102CB">
        <w:rPr>
          <w:rFonts w:ascii="Times New Roman" w:hAnsi="Times New Roman" w:cs="Times New Roman"/>
          <w:sz w:val="24"/>
          <w:szCs w:val="24"/>
        </w:rPr>
        <w:t xml:space="preserve"> (referenced 30 December 2024).</w:t>
      </w:r>
    </w:p>
    <w:p w14:paraId="3E407078"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UPR Info. 2016. Action Categories. </w:t>
      </w:r>
      <w:hyperlink r:id="rId37" w:history="1">
        <w:r w:rsidRPr="007102CB">
          <w:rPr>
            <w:rStyle w:val="Hyperlink"/>
            <w:rFonts w:ascii="Times New Roman" w:hAnsi="Times New Roman" w:cs="Times New Roman"/>
            <w:color w:val="auto"/>
            <w:sz w:val="24"/>
            <w:szCs w:val="24"/>
          </w:rPr>
          <w:t>https://upr-info.org/sites/default/files/general-document/2022-05/Database_Action_Category.pdf</w:t>
        </w:r>
      </w:hyperlink>
      <w:r w:rsidRPr="007102CB">
        <w:rPr>
          <w:rFonts w:ascii="Times New Roman" w:hAnsi="Times New Roman" w:cs="Times New Roman"/>
          <w:sz w:val="24"/>
          <w:szCs w:val="24"/>
        </w:rPr>
        <w:t xml:space="preserve"> (referenced 30 December 2024)</w:t>
      </w:r>
    </w:p>
    <w:p w14:paraId="49277480" w14:textId="7C519446"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eastAsia="Aptos" w:hAnsi="Times New Roman" w:cs="Times New Roman"/>
          <w:sz w:val="24"/>
          <w:szCs w:val="24"/>
        </w:rPr>
        <w:t>UPR Info. 2016</w:t>
      </w:r>
      <w:r w:rsidR="00C40005" w:rsidRPr="007102CB">
        <w:rPr>
          <w:rFonts w:ascii="Times New Roman" w:eastAsia="Aptos" w:hAnsi="Times New Roman" w:cs="Times New Roman"/>
          <w:sz w:val="24"/>
          <w:szCs w:val="24"/>
        </w:rPr>
        <w:t>a</w:t>
      </w:r>
      <w:r w:rsidRPr="007102CB">
        <w:rPr>
          <w:rFonts w:ascii="Times New Roman" w:eastAsia="Aptos" w:hAnsi="Times New Roman" w:cs="Times New Roman"/>
          <w:sz w:val="24"/>
          <w:szCs w:val="24"/>
        </w:rPr>
        <w:t xml:space="preserve">. UPR Info Pre-sessions: Empowering human rights voices from the ground. </w:t>
      </w:r>
      <w:hyperlink r:id="rId38" w:history="1">
        <w:r w:rsidRPr="007102CB">
          <w:rPr>
            <w:rStyle w:val="Hyperlink"/>
            <w:rFonts w:ascii="Times New Roman" w:eastAsia="Aptos" w:hAnsi="Times New Roman" w:cs="Times New Roman"/>
            <w:color w:val="auto"/>
            <w:sz w:val="24"/>
            <w:szCs w:val="24"/>
          </w:rPr>
          <w:t>https://upr.info/sites/default/files/documents/2016-12/pre-sessions_web.pdf</w:t>
        </w:r>
      </w:hyperlink>
      <w:r w:rsidRPr="007102CB">
        <w:rPr>
          <w:rFonts w:ascii="Times New Roman" w:eastAsia="Aptos" w:hAnsi="Times New Roman" w:cs="Times New Roman"/>
          <w:sz w:val="24"/>
          <w:szCs w:val="24"/>
        </w:rPr>
        <w:t xml:space="preserve">. (referenced 30 December 2024). </w:t>
      </w:r>
    </w:p>
    <w:p w14:paraId="09AD223A" w14:textId="77777777" w:rsidR="00B6059A" w:rsidRPr="007102CB" w:rsidRDefault="00B6059A" w:rsidP="00A429CA">
      <w:pPr>
        <w:spacing w:before="100" w:beforeAutospacing="1" w:after="100" w:afterAutospacing="1" w:line="240" w:lineRule="auto"/>
        <w:jc w:val="both"/>
        <w:rPr>
          <w:rFonts w:ascii="Times New Roman" w:hAnsi="Times New Roman" w:cs="Times New Roman"/>
          <w:sz w:val="24"/>
          <w:szCs w:val="24"/>
        </w:rPr>
      </w:pPr>
      <w:r w:rsidRPr="007102CB">
        <w:rPr>
          <w:rFonts w:ascii="Times New Roman" w:eastAsia="Aptos" w:hAnsi="Times New Roman" w:cs="Times New Roman"/>
          <w:sz w:val="24"/>
          <w:szCs w:val="24"/>
        </w:rPr>
        <w:t>UPR Info. Undated. Pre-sessions Frequently Asked Questions. https://upr.info/en/node/2299 (referenced 30 December 2024).</w:t>
      </w:r>
    </w:p>
    <w:p w14:paraId="5206C8BC" w14:textId="21468444" w:rsidR="00B6059A" w:rsidRPr="007102CB" w:rsidRDefault="00B6059A" w:rsidP="00A429CA">
      <w:pPr>
        <w:spacing w:before="100" w:beforeAutospacing="1" w:after="100" w:afterAutospacing="1" w:line="240" w:lineRule="auto"/>
        <w:jc w:val="both"/>
        <w:rPr>
          <w:rFonts w:ascii="Times New Roman" w:hAnsi="Times New Roman" w:cs="Times New Roman"/>
          <w:sz w:val="24"/>
          <w:szCs w:val="24"/>
        </w:rPr>
      </w:pPr>
      <w:r w:rsidRPr="007102CB">
        <w:rPr>
          <w:rFonts w:ascii="Times New Roman" w:eastAsia="Aptos" w:hAnsi="Times New Roman" w:cs="Times New Roman"/>
          <w:sz w:val="24"/>
          <w:szCs w:val="24"/>
        </w:rPr>
        <w:t>UPR-Info</w:t>
      </w:r>
      <w:r w:rsidR="00C40005" w:rsidRPr="007102CB">
        <w:rPr>
          <w:rFonts w:ascii="Times New Roman" w:eastAsia="Aptos" w:hAnsi="Times New Roman" w:cs="Times New Roman"/>
          <w:sz w:val="24"/>
          <w:szCs w:val="24"/>
        </w:rPr>
        <w:t xml:space="preserve">. </w:t>
      </w:r>
      <w:r w:rsidRPr="007102CB">
        <w:rPr>
          <w:rFonts w:ascii="Times New Roman" w:eastAsia="Aptos" w:hAnsi="Times New Roman" w:cs="Times New Roman"/>
          <w:sz w:val="24"/>
          <w:szCs w:val="24"/>
        </w:rPr>
        <w:t>2016</w:t>
      </w:r>
      <w:r w:rsidR="00C40005" w:rsidRPr="007102CB">
        <w:rPr>
          <w:rFonts w:ascii="Times New Roman" w:eastAsia="Aptos" w:hAnsi="Times New Roman" w:cs="Times New Roman"/>
          <w:sz w:val="24"/>
          <w:szCs w:val="24"/>
        </w:rPr>
        <w:t>b</w:t>
      </w:r>
      <w:r w:rsidRPr="007102CB">
        <w:rPr>
          <w:rFonts w:ascii="Times New Roman" w:eastAsia="Aptos" w:hAnsi="Times New Roman" w:cs="Times New Roman"/>
          <w:sz w:val="24"/>
          <w:szCs w:val="24"/>
        </w:rPr>
        <w:t>. 4 Sudanese defenders banned from participating in UPR Info Pre-session. https://upr.info/fr/node/1911 (referenced 20 May 2024).</w:t>
      </w:r>
    </w:p>
    <w:p w14:paraId="33A9C5ED"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 xml:space="preserve">Willetts, Peter. 1996. </w:t>
      </w:r>
      <w:r w:rsidRPr="007102CB">
        <w:rPr>
          <w:rFonts w:ascii="Times New Roman" w:hAnsi="Times New Roman" w:cs="Times New Roman"/>
          <w:i/>
          <w:iCs/>
          <w:sz w:val="24"/>
          <w:szCs w:val="24"/>
        </w:rPr>
        <w:t>The Conscience of the World: The Influence of Non-Governmental Organizations in the UN System</w:t>
      </w:r>
      <w:r w:rsidRPr="007102CB">
        <w:rPr>
          <w:rFonts w:ascii="Times New Roman" w:hAnsi="Times New Roman" w:cs="Times New Roman"/>
          <w:sz w:val="24"/>
          <w:szCs w:val="24"/>
        </w:rPr>
        <w:t>. Brookings Institution Press.</w:t>
      </w:r>
    </w:p>
    <w:p w14:paraId="131AEFEA"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proofErr w:type="spellStart"/>
      <w:r w:rsidRPr="007102CB">
        <w:rPr>
          <w:rFonts w:ascii="Times New Roman" w:hAnsi="Times New Roman" w:cs="Times New Roman"/>
          <w:sz w:val="24"/>
          <w:szCs w:val="24"/>
        </w:rPr>
        <w:t>Wiseberg</w:t>
      </w:r>
      <w:proofErr w:type="spellEnd"/>
      <w:r w:rsidRPr="007102CB">
        <w:rPr>
          <w:rFonts w:ascii="Times New Roman" w:hAnsi="Times New Roman" w:cs="Times New Roman"/>
          <w:sz w:val="24"/>
          <w:szCs w:val="24"/>
        </w:rPr>
        <w:t xml:space="preserve">, Laurie S. 2003. The Role of Non-Governmental Organizations (NGOs) in the Protection and Enforcement of Human Rights. In J </w:t>
      </w:r>
      <w:proofErr w:type="spellStart"/>
      <w:r w:rsidRPr="007102CB">
        <w:rPr>
          <w:rFonts w:ascii="Times New Roman" w:hAnsi="Times New Roman" w:cs="Times New Roman"/>
          <w:sz w:val="24"/>
          <w:szCs w:val="24"/>
        </w:rPr>
        <w:t>Symonides</w:t>
      </w:r>
      <w:proofErr w:type="spellEnd"/>
      <w:r w:rsidRPr="007102CB">
        <w:rPr>
          <w:rFonts w:ascii="Times New Roman" w:hAnsi="Times New Roman" w:cs="Times New Roman"/>
          <w:sz w:val="24"/>
          <w:szCs w:val="24"/>
        </w:rPr>
        <w:t xml:space="preserve"> (ed), </w:t>
      </w:r>
      <w:r w:rsidRPr="007102CB">
        <w:rPr>
          <w:rFonts w:ascii="Times New Roman" w:hAnsi="Times New Roman" w:cs="Times New Roman"/>
          <w:i/>
          <w:iCs/>
          <w:sz w:val="24"/>
          <w:szCs w:val="24"/>
        </w:rPr>
        <w:t>Human Rights: International Protection, Monitoring, Enforcement</w:t>
      </w:r>
      <w:r w:rsidRPr="007102CB">
        <w:rPr>
          <w:rFonts w:ascii="Times New Roman" w:hAnsi="Times New Roman" w:cs="Times New Roman"/>
          <w:sz w:val="24"/>
          <w:szCs w:val="24"/>
        </w:rPr>
        <w:t>, UNESCO Publishing.</w:t>
      </w:r>
    </w:p>
    <w:p w14:paraId="0B729D2E" w14:textId="77777777" w:rsidR="00B6059A" w:rsidRPr="007102CB" w:rsidRDefault="00B6059A" w:rsidP="00A429CA">
      <w:pPr>
        <w:pStyle w:val="FootnoteText"/>
        <w:spacing w:before="100" w:beforeAutospacing="1" w:after="100" w:afterAutospacing="1"/>
        <w:jc w:val="both"/>
        <w:rPr>
          <w:rFonts w:ascii="Times New Roman" w:hAnsi="Times New Roman" w:cs="Times New Roman"/>
          <w:sz w:val="24"/>
          <w:szCs w:val="24"/>
        </w:rPr>
      </w:pPr>
      <w:r w:rsidRPr="007102CB">
        <w:rPr>
          <w:rFonts w:ascii="Times New Roman" w:hAnsi="Times New Roman" w:cs="Times New Roman"/>
          <w:sz w:val="24"/>
          <w:szCs w:val="24"/>
        </w:rPr>
        <w:t>Wong. 2012. Internal Affairs. In Sarah S. Stroup</w:t>
      </w:r>
      <w:r w:rsidRPr="007102CB">
        <w:rPr>
          <w:rFonts w:ascii="Times New Roman" w:hAnsi="Times New Roman" w:cs="Times New Roman"/>
          <w:i/>
          <w:iCs/>
          <w:sz w:val="24"/>
          <w:szCs w:val="24"/>
        </w:rPr>
        <w:t>, Borders among Activists: International NGOs in the United States, Britain, and France</w:t>
      </w:r>
      <w:r w:rsidRPr="007102CB">
        <w:rPr>
          <w:rFonts w:ascii="Times New Roman" w:hAnsi="Times New Roman" w:cs="Times New Roman"/>
          <w:sz w:val="24"/>
          <w:szCs w:val="24"/>
        </w:rPr>
        <w:t>. Cornell University Press.</w:t>
      </w:r>
    </w:p>
    <w:sectPr w:rsidR="00B6059A" w:rsidRPr="007102CB" w:rsidSect="00BD3A96">
      <w:pgSz w:w="11906" w:h="16838"/>
      <w:pgMar w:top="82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D2F8" w14:textId="77777777" w:rsidR="00FA13B2" w:rsidRDefault="00FA13B2" w:rsidP="00A355BA">
      <w:pPr>
        <w:spacing w:after="0" w:line="240" w:lineRule="auto"/>
      </w:pPr>
      <w:r>
        <w:separator/>
      </w:r>
    </w:p>
  </w:endnote>
  <w:endnote w:type="continuationSeparator" w:id="0">
    <w:p w14:paraId="58ABCB16" w14:textId="77777777" w:rsidR="00FA13B2" w:rsidRDefault="00FA13B2" w:rsidP="00A355BA">
      <w:pPr>
        <w:spacing w:after="0" w:line="240" w:lineRule="auto"/>
      </w:pPr>
      <w:r>
        <w:continuationSeparator/>
      </w:r>
    </w:p>
  </w:endnote>
  <w:endnote w:type="continuationNotice" w:id="1">
    <w:p w14:paraId="41462EA6" w14:textId="77777777" w:rsidR="00FA13B2" w:rsidRDefault="00FA13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891409"/>
      <w:docPartObj>
        <w:docPartGallery w:val="Page Numbers (Bottom of Page)"/>
        <w:docPartUnique/>
      </w:docPartObj>
    </w:sdtPr>
    <w:sdtEndPr>
      <w:rPr>
        <w:noProof/>
      </w:rPr>
    </w:sdtEndPr>
    <w:sdtContent>
      <w:p w14:paraId="2F1206E3" w14:textId="7BC2AC83" w:rsidR="00EB2769" w:rsidRDefault="00EB27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0C0733" w14:textId="72B814F3" w:rsidR="4B086B0F" w:rsidRDefault="4B086B0F" w:rsidP="4B086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EDE50" w14:textId="77777777" w:rsidR="00FA13B2" w:rsidRDefault="00FA13B2" w:rsidP="00A355BA">
      <w:pPr>
        <w:spacing w:after="0" w:line="240" w:lineRule="auto"/>
      </w:pPr>
      <w:r>
        <w:separator/>
      </w:r>
    </w:p>
  </w:footnote>
  <w:footnote w:type="continuationSeparator" w:id="0">
    <w:p w14:paraId="61C9735E" w14:textId="77777777" w:rsidR="00FA13B2" w:rsidRDefault="00FA13B2" w:rsidP="00A355BA">
      <w:pPr>
        <w:spacing w:after="0" w:line="240" w:lineRule="auto"/>
      </w:pPr>
      <w:r>
        <w:continuationSeparator/>
      </w:r>
    </w:p>
  </w:footnote>
  <w:footnote w:type="continuationNotice" w:id="1">
    <w:p w14:paraId="44E0730B" w14:textId="77777777" w:rsidR="00FA13B2" w:rsidRDefault="00FA13B2">
      <w:pPr>
        <w:spacing w:after="0" w:line="240" w:lineRule="auto"/>
      </w:pPr>
    </w:p>
  </w:footnote>
  <w:footnote w:id="2">
    <w:p w14:paraId="32790AFD" w14:textId="423DC229" w:rsidR="001960DA" w:rsidRPr="00370A69" w:rsidRDefault="001960DA"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United Nations, </w:t>
      </w:r>
      <w:r w:rsidRPr="00370A69">
        <w:rPr>
          <w:rFonts w:ascii="Times New Roman" w:hAnsi="Times New Roman" w:cs="Times New Roman"/>
          <w:i/>
          <w:iCs/>
        </w:rPr>
        <w:t>Charter of the United Nations</w:t>
      </w:r>
      <w:r w:rsidRPr="00370A69">
        <w:rPr>
          <w:rFonts w:ascii="Times New Roman" w:hAnsi="Times New Roman" w:cs="Times New Roman"/>
        </w:rPr>
        <w:t>, 24 October 1945, 1 UNTS XVI, art 71.</w:t>
      </w:r>
    </w:p>
  </w:footnote>
  <w:footnote w:id="3">
    <w:p w14:paraId="1D9837BD" w14:textId="3CC70983" w:rsidR="00607BCE" w:rsidRPr="00370A69" w:rsidRDefault="00607BCE"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Economic and Social Council, </w:t>
      </w:r>
      <w:r w:rsidRPr="00370A69">
        <w:rPr>
          <w:rFonts w:ascii="Times New Roman" w:hAnsi="Times New Roman" w:cs="Times New Roman"/>
          <w:i/>
          <w:iCs/>
        </w:rPr>
        <w:t>Consultative relationship between the United Nations and non-governmental organizations</w:t>
      </w:r>
      <w:r w:rsidRPr="00370A69">
        <w:rPr>
          <w:rFonts w:ascii="Times New Roman" w:hAnsi="Times New Roman" w:cs="Times New Roman"/>
        </w:rPr>
        <w:t>, resolution 1996/31, adopted at the 49th plenary meeting, 25 July 1996, preamble.</w:t>
      </w:r>
    </w:p>
  </w:footnote>
  <w:footnote w:id="4">
    <w:p w14:paraId="6EDED927" w14:textId="231C59FF" w:rsidR="008A1A32" w:rsidRPr="00370A69" w:rsidRDefault="008A1A32"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UN Human Rights Council, ‘Civil Society Space’ (3 October 2014) UN Doc A/HRC/RES/27/31, Preamble.</w:t>
      </w:r>
    </w:p>
  </w:footnote>
  <w:footnote w:id="5">
    <w:p w14:paraId="335AAD0B" w14:textId="0966F851" w:rsidR="007101CD" w:rsidRPr="00370A69" w:rsidRDefault="007101C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UN Human Rights Council, ‘Civil society space: creating and maintaining, in law and in practice, a safe and enabling environment’ (9 October 2013) UN Doc A/HRC/RES/24/21, Preamble.</w:t>
      </w:r>
    </w:p>
  </w:footnote>
  <w:footnote w:id="6">
    <w:p w14:paraId="5E648E7A" w14:textId="2D53975B" w:rsidR="00973A74" w:rsidRPr="00370A69" w:rsidRDefault="00973A7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6457D3" w:rsidRPr="00370A69">
        <w:rPr>
          <w:rFonts w:ascii="Times New Roman" w:hAnsi="Times New Roman" w:cs="Times New Roman"/>
        </w:rPr>
        <w:t>UN Human Rights Council</w:t>
      </w:r>
      <w:r w:rsidR="006E32CB">
        <w:rPr>
          <w:rFonts w:ascii="Times New Roman" w:hAnsi="Times New Roman" w:cs="Times New Roman"/>
        </w:rPr>
        <w:t xml:space="preserve"> (n </w:t>
      </w:r>
      <w:r w:rsidR="00817F87">
        <w:rPr>
          <w:rFonts w:ascii="Times New Roman" w:hAnsi="Times New Roman" w:cs="Times New Roman"/>
        </w:rPr>
        <w:t>3</w:t>
      </w:r>
      <w:r w:rsidR="006E32CB">
        <w:rPr>
          <w:rFonts w:ascii="Times New Roman" w:hAnsi="Times New Roman" w:cs="Times New Roman"/>
        </w:rPr>
        <w:t>)</w:t>
      </w:r>
      <w:r w:rsidR="006457D3" w:rsidRPr="00370A69">
        <w:rPr>
          <w:rFonts w:ascii="Times New Roman" w:hAnsi="Times New Roman" w:cs="Times New Roman"/>
        </w:rPr>
        <w:t>.</w:t>
      </w:r>
    </w:p>
  </w:footnote>
  <w:footnote w:id="7">
    <w:p w14:paraId="67D76E9F" w14:textId="12C90C4A" w:rsidR="00737C94" w:rsidRPr="00370A69" w:rsidRDefault="00737C9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Felice D. Gaer, ‘Implementing international human rights norms: UN human rights treaty bodies and NGOs’ (2003) 2(3) Journal of Human Rights 339; Laurie S Wiseberg, ‘The Role of Non-Governmental Organizations (NGOs) in the Protection and Enforcement of Human Rights’ in J </w:t>
      </w:r>
      <w:proofErr w:type="spellStart"/>
      <w:r w:rsidRPr="00370A69">
        <w:rPr>
          <w:rFonts w:ascii="Times New Roman" w:hAnsi="Times New Roman" w:cs="Times New Roman"/>
        </w:rPr>
        <w:t>Symonides</w:t>
      </w:r>
      <w:proofErr w:type="spellEnd"/>
      <w:r w:rsidRPr="00370A69">
        <w:rPr>
          <w:rFonts w:ascii="Times New Roman" w:hAnsi="Times New Roman" w:cs="Times New Roman"/>
        </w:rPr>
        <w:t xml:space="preserve"> (ed), </w:t>
      </w:r>
      <w:r w:rsidRPr="00370A69">
        <w:rPr>
          <w:rFonts w:ascii="Times New Roman" w:hAnsi="Times New Roman" w:cs="Times New Roman"/>
          <w:i/>
          <w:iCs/>
        </w:rPr>
        <w:t>Human Rights: International Protection, Monitoring, Enforcement</w:t>
      </w:r>
      <w:r w:rsidRPr="00370A69">
        <w:rPr>
          <w:rFonts w:ascii="Times New Roman" w:hAnsi="Times New Roman" w:cs="Times New Roman"/>
        </w:rPr>
        <w:t> (UNESCO Publishing 2003) 347; Alice M Miller, ‘Women’s Human Rights NGOs and the Treaty Bodies: Some Case Studies in Using the Treaty Bodies to Protect the Human Rights of Women In Anne Bayefsky (ed), </w:t>
      </w:r>
      <w:r w:rsidRPr="00370A69">
        <w:rPr>
          <w:rFonts w:ascii="Times New Roman" w:hAnsi="Times New Roman" w:cs="Times New Roman"/>
          <w:i/>
          <w:iCs/>
        </w:rPr>
        <w:t>The UN Human Rights Treaty System in the 21 Century</w:t>
      </w:r>
      <w:r w:rsidRPr="00370A69">
        <w:rPr>
          <w:rFonts w:ascii="Times New Roman" w:hAnsi="Times New Roman" w:cs="Times New Roman"/>
        </w:rPr>
        <w:t xml:space="preserve"> (Brill 2000) 195; Laura Theytaz-Bergman, ‘State Reporting and the Role of Non-Governmental Organizations’ in Anne Bayefsky (ed), </w:t>
      </w:r>
      <w:r w:rsidRPr="00370A69">
        <w:rPr>
          <w:rFonts w:ascii="Times New Roman" w:hAnsi="Times New Roman" w:cs="Times New Roman"/>
          <w:i/>
          <w:iCs/>
        </w:rPr>
        <w:t>The UN Human Rights Treaty System in the 21 Century</w:t>
      </w:r>
      <w:r w:rsidRPr="00370A69">
        <w:rPr>
          <w:rFonts w:ascii="Times New Roman" w:hAnsi="Times New Roman" w:cs="Times New Roman"/>
        </w:rPr>
        <w:t xml:space="preserve"> (Brill 2000) 45.</w:t>
      </w:r>
    </w:p>
  </w:footnote>
  <w:footnote w:id="8">
    <w:p w14:paraId="173EE4CF" w14:textId="77777777" w:rsidR="00640768" w:rsidRPr="00370A69" w:rsidRDefault="0064076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Fiona McGaughey, ‘The Role and Influence of Non-governmental Organisations in the Universal Periodic Review – International Context and Australian Case Study’ (2017) 17 Human Rights Law Review 421; </w:t>
      </w:r>
    </w:p>
    <w:p w14:paraId="22B8622C" w14:textId="62DC8DCC" w:rsidR="00640768" w:rsidRPr="00370A69" w:rsidRDefault="00640768" w:rsidP="00384885">
      <w:pPr>
        <w:pStyle w:val="FootnoteText"/>
        <w:jc w:val="both"/>
        <w:rPr>
          <w:rFonts w:ascii="Times New Roman" w:hAnsi="Times New Roman" w:cs="Times New Roman"/>
        </w:rPr>
      </w:pPr>
      <w:r w:rsidRPr="00370A69">
        <w:rPr>
          <w:rFonts w:ascii="Times New Roman" w:hAnsi="Times New Roman" w:cs="Times New Roman"/>
        </w:rPr>
        <w:t xml:space="preserve">Ben Schokman and Phil Lynch, ‘Effective NGO engagement with the Universal Periodic Review’ in Hilary Charlesworth and Emma Larking (Eds), </w:t>
      </w:r>
      <w:r w:rsidRPr="00370A69">
        <w:rPr>
          <w:rFonts w:ascii="Times New Roman" w:hAnsi="Times New Roman" w:cs="Times New Roman"/>
          <w:i/>
          <w:iCs/>
        </w:rPr>
        <w:t>Human Rights and the Universal Periodic Review: Rituals and Ritualism</w:t>
      </w:r>
      <w:r w:rsidRPr="00370A69">
        <w:rPr>
          <w:rFonts w:ascii="Times New Roman" w:hAnsi="Times New Roman" w:cs="Times New Roman"/>
        </w:rPr>
        <w:t xml:space="preserve"> (Cambridge University Press 2015) 126.</w:t>
      </w:r>
    </w:p>
  </w:footnote>
  <w:footnote w:id="9">
    <w:p w14:paraId="5E6EBF40" w14:textId="2773515A" w:rsidR="00791D3B" w:rsidRPr="00370A69" w:rsidRDefault="00791D3B"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Alice Storey and Melisa Oleschuk, </w:t>
      </w:r>
      <w:r w:rsidRPr="00370A69">
        <w:rPr>
          <w:rFonts w:ascii="Times New Roman" w:hAnsi="Times New Roman" w:cs="Times New Roman"/>
          <w:i/>
          <w:iCs/>
        </w:rPr>
        <w:t>Empowering Civil Society Organisations at the UPR</w:t>
      </w:r>
      <w:r w:rsidRPr="00370A69">
        <w:rPr>
          <w:rFonts w:ascii="Times New Roman" w:hAnsi="Times New Roman" w:cs="Times New Roman"/>
        </w:rPr>
        <w:t xml:space="preserve"> (Birmingham City University, 2023)available at </w:t>
      </w:r>
      <w:hyperlink r:id="rId1" w:history="1">
        <w:r w:rsidRPr="00370A69">
          <w:rPr>
            <w:rStyle w:val="Hyperlink"/>
            <w:rFonts w:ascii="Times New Roman" w:hAnsi="Times New Roman" w:cs="Times New Roman"/>
          </w:rPr>
          <w:t>https://bcuassets.blob.core.windows.net/docs/empowering-csos-at-the-upr-full-report-133680282970363754.pdf</w:t>
        </w:r>
      </w:hyperlink>
      <w:r w:rsidRPr="00370A69">
        <w:rPr>
          <w:rFonts w:ascii="Times New Roman" w:hAnsi="Times New Roman" w:cs="Times New Roman"/>
        </w:rPr>
        <w:t xml:space="preserve"> accessed 10 October 2024; See also Lucia Nader, ‘The Role of NGOs in the he UN Human Rights Council’ (2007) 7 International Human Rights Journal.</w:t>
      </w:r>
    </w:p>
  </w:footnote>
  <w:footnote w:id="10">
    <w:p w14:paraId="45AF33D6" w14:textId="66805CB5" w:rsidR="00DA260F" w:rsidRPr="00370A69" w:rsidRDefault="00DA260F"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hAnsi="Times New Roman" w:cs="Times New Roman"/>
          <w:lang w:val="en-AU"/>
        </w:rPr>
        <w:t>Edward</w:t>
      </w:r>
      <w:r w:rsidR="006E32CB" w:rsidRPr="006E32CB">
        <w:rPr>
          <w:rFonts w:ascii="Times New Roman" w:hAnsi="Times New Roman" w:cs="Times New Roman"/>
          <w:lang w:val="en-AU"/>
        </w:rPr>
        <w:t xml:space="preserve"> </w:t>
      </w:r>
      <w:r w:rsidR="006E32CB" w:rsidRPr="00370A69">
        <w:rPr>
          <w:rFonts w:ascii="Times New Roman" w:hAnsi="Times New Roman" w:cs="Times New Roman"/>
          <w:lang w:val="en-AU"/>
        </w:rPr>
        <w:t>McMahon</w:t>
      </w:r>
      <w:r w:rsidRPr="00370A69">
        <w:rPr>
          <w:rFonts w:ascii="Times New Roman" w:hAnsi="Times New Roman" w:cs="Times New Roman"/>
          <w:lang w:val="en-AU"/>
        </w:rPr>
        <w:t xml:space="preserve">, et al, ‘The Universal Periodic Review: Do Civil Society Organisation-Suggested Recommendations Matter?’ (2013) </w:t>
      </w:r>
      <w:r w:rsidRPr="00370A69">
        <w:rPr>
          <w:rFonts w:ascii="Times New Roman" w:hAnsi="Times New Roman" w:cs="Times New Roman"/>
          <w:i/>
          <w:lang w:val="en-AU"/>
        </w:rPr>
        <w:t xml:space="preserve">International Policy Analysis </w:t>
      </w:r>
      <w:r w:rsidRPr="00370A69">
        <w:rPr>
          <w:rFonts w:ascii="Times New Roman" w:hAnsi="Times New Roman" w:cs="Times New Roman"/>
          <w:lang w:val="en-AU"/>
        </w:rPr>
        <w:t>1-14.</w:t>
      </w:r>
    </w:p>
  </w:footnote>
  <w:footnote w:id="11">
    <w:p w14:paraId="0C0944B8" w14:textId="2FBC8B81" w:rsidR="004A418D" w:rsidRPr="00370A69" w:rsidRDefault="004A418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6E32CB" w:rsidRPr="006E32CB">
        <w:rPr>
          <w:rFonts w:ascii="Times New Roman" w:hAnsi="Times New Roman" w:cs="Times New Roman"/>
          <w:i/>
          <w:iCs/>
          <w:lang w:val="en-AU"/>
        </w:rPr>
        <w:t xml:space="preserve">Institution Building of the United Nations Human Rights Council, </w:t>
      </w:r>
      <w:r w:rsidR="006E32CB" w:rsidRPr="00D1085E">
        <w:rPr>
          <w:rFonts w:ascii="Times New Roman" w:hAnsi="Times New Roman" w:cs="Times New Roman"/>
          <w:lang w:val="en-AU"/>
        </w:rPr>
        <w:t>HRC Res. 5/1, UN HRC OR, 5</w:t>
      </w:r>
      <w:r w:rsidR="006E32CB" w:rsidRPr="00D1085E">
        <w:rPr>
          <w:rFonts w:ascii="Times New Roman" w:hAnsi="Times New Roman" w:cs="Times New Roman"/>
          <w:vertAlign w:val="superscript"/>
          <w:lang w:val="en-AU"/>
        </w:rPr>
        <w:t>th</w:t>
      </w:r>
      <w:r w:rsidR="006E32CB" w:rsidRPr="00D1085E">
        <w:rPr>
          <w:rFonts w:ascii="Times New Roman" w:hAnsi="Times New Roman" w:cs="Times New Roman"/>
          <w:lang w:val="en-AU"/>
        </w:rPr>
        <w:t xml:space="preserve"> </w:t>
      </w:r>
      <w:proofErr w:type="spellStart"/>
      <w:r w:rsidR="006E32CB" w:rsidRPr="00D1085E">
        <w:rPr>
          <w:rFonts w:ascii="Times New Roman" w:hAnsi="Times New Roman" w:cs="Times New Roman"/>
          <w:lang w:val="en-AU"/>
        </w:rPr>
        <w:t>sess</w:t>
      </w:r>
      <w:proofErr w:type="spellEnd"/>
      <w:r w:rsidR="006E32CB" w:rsidRPr="00D1085E">
        <w:rPr>
          <w:rFonts w:ascii="Times New Roman" w:hAnsi="Times New Roman" w:cs="Times New Roman"/>
          <w:lang w:val="en-AU"/>
        </w:rPr>
        <w:t>, Annex [IB], UN Doc A/HRC/RES/5/1, annex (18 June 2007</w:t>
      </w:r>
      <w:r w:rsidR="006E32CB" w:rsidRPr="006E32CB">
        <w:rPr>
          <w:rFonts w:ascii="Times New Roman" w:hAnsi="Times New Roman" w:cs="Times New Roman"/>
          <w:i/>
          <w:iCs/>
          <w:lang w:val="en-AU"/>
        </w:rPr>
        <w:t xml:space="preserve">) </w:t>
      </w:r>
      <w:r w:rsidRPr="00370A69">
        <w:rPr>
          <w:rFonts w:ascii="Times New Roman" w:hAnsi="Times New Roman" w:cs="Times New Roman"/>
          <w:iCs/>
          <w:lang w:val="en-AU"/>
        </w:rPr>
        <w:t xml:space="preserve">para </w:t>
      </w:r>
      <w:r w:rsidRPr="00370A69">
        <w:rPr>
          <w:rFonts w:ascii="Times New Roman" w:hAnsi="Times New Roman" w:cs="Times New Roman"/>
          <w:lang w:val="en-AU"/>
        </w:rPr>
        <w:t>3 (m).</w:t>
      </w:r>
    </w:p>
  </w:footnote>
  <w:footnote w:id="12">
    <w:p w14:paraId="7AC6FA67" w14:textId="4C757A0D" w:rsidR="00727B24" w:rsidRPr="00370A69" w:rsidRDefault="00727B2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1705B3" w:rsidRPr="00370A69">
        <w:rPr>
          <w:rFonts w:ascii="Times New Roman" w:hAnsi="Times New Roman" w:cs="Times New Roman"/>
        </w:rPr>
        <w:t>The African Group argued that NGOS are ‘</w:t>
      </w:r>
      <w:r w:rsidR="001705B3" w:rsidRPr="00370A69">
        <w:rPr>
          <w:rFonts w:ascii="Times New Roman" w:hAnsi="Times New Roman" w:cs="Times New Roman"/>
          <w:lang w:val="en-AU"/>
        </w:rPr>
        <w:t>detractors, not peers’</w:t>
      </w:r>
      <w:r w:rsidR="008D04DD" w:rsidRPr="00370A69">
        <w:rPr>
          <w:rFonts w:ascii="Times New Roman" w:hAnsi="Times New Roman" w:cs="Times New Roman"/>
          <w:lang w:val="en-AU"/>
        </w:rPr>
        <w:t>.</w:t>
      </w:r>
      <w:r w:rsidR="00AD76BF" w:rsidRPr="00370A69">
        <w:rPr>
          <w:rFonts w:ascii="Times New Roman" w:hAnsi="Times New Roman" w:cs="Times New Roman"/>
          <w:lang w:val="en-AU"/>
        </w:rPr>
        <w:t xml:space="preserve"> </w:t>
      </w:r>
      <w:r w:rsidR="00D94AB3" w:rsidRPr="00370A69">
        <w:rPr>
          <w:rFonts w:ascii="Times New Roman" w:hAnsi="Times New Roman" w:cs="Times New Roman"/>
        </w:rPr>
        <w:t>See The African Group argued that NGOS are ‘</w:t>
      </w:r>
      <w:r w:rsidR="00D94AB3" w:rsidRPr="00370A69">
        <w:rPr>
          <w:rFonts w:ascii="Times New Roman" w:hAnsi="Times New Roman" w:cs="Times New Roman"/>
          <w:lang w:val="en-AU"/>
        </w:rPr>
        <w:t xml:space="preserve">detractors, not peers’, see Algeria’s Statement (on behalf of African Group) see Gareth Sweeney, </w:t>
      </w:r>
      <w:r w:rsidR="00D94AB3" w:rsidRPr="00370A69">
        <w:rPr>
          <w:rFonts w:ascii="Times New Roman" w:hAnsi="Times New Roman" w:cs="Times New Roman"/>
          <w:i/>
          <w:lang w:val="en-AU"/>
        </w:rPr>
        <w:t>Human Rights Council Working Group To Develop The Modalities Of The Universal Periodic Review, 3rd Session, 11 And 24 April 2007</w:t>
      </w:r>
      <w:r w:rsidR="00D94AB3" w:rsidRPr="00370A69">
        <w:rPr>
          <w:rFonts w:ascii="Times New Roman" w:hAnsi="Times New Roman" w:cs="Times New Roman"/>
          <w:lang w:val="en-AU"/>
        </w:rPr>
        <w:t xml:space="preserve"> (International Service for Human Rights, 2007) 7.</w:t>
      </w:r>
    </w:p>
  </w:footnote>
  <w:footnote w:id="13">
    <w:p w14:paraId="2CF7B02E" w14:textId="1C56DAFE" w:rsidR="002E5889" w:rsidRPr="00370A69" w:rsidRDefault="002E5889"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This is in contrast with WEOG that wanted a ‘full and effective involvement of all stakeholders, including NGOs, as well as openness to the public at large.’ See </w:t>
      </w:r>
      <w:r w:rsidRPr="00370A69">
        <w:rPr>
          <w:rFonts w:ascii="Times New Roman" w:hAnsi="Times New Roman" w:cs="Times New Roman"/>
          <w:lang w:val="en-AU"/>
        </w:rPr>
        <w:t>See Human Rights Council Working Group on the Review of Mandates and Mechanisms, ‘Oral Statement by the European Union on the Universal Periodic Review’ (12 February 2007).</w:t>
      </w:r>
    </w:p>
  </w:footnote>
  <w:footnote w:id="14">
    <w:p w14:paraId="50E2BDBF" w14:textId="2355AB51" w:rsidR="00830B64" w:rsidRPr="00370A69" w:rsidRDefault="00830B6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hAnsi="Times New Roman" w:cs="Times New Roman"/>
          <w:i/>
          <w:iCs/>
          <w:lang w:val="en-AU"/>
        </w:rPr>
        <w:t>Institution Building of the United Nations Human Rights Council</w:t>
      </w:r>
      <w:r w:rsidRPr="00370A69">
        <w:rPr>
          <w:rFonts w:ascii="Times New Roman" w:hAnsi="Times New Roman" w:cs="Times New Roman"/>
          <w:iCs/>
          <w:lang w:val="en-AU"/>
        </w:rPr>
        <w:t xml:space="preserve"> </w:t>
      </w:r>
      <w:r w:rsidR="00D1085E">
        <w:rPr>
          <w:rFonts w:ascii="Times New Roman" w:hAnsi="Times New Roman" w:cs="Times New Roman"/>
          <w:iCs/>
          <w:lang w:val="en-AU"/>
        </w:rPr>
        <w:t>(n 10).</w:t>
      </w:r>
    </w:p>
  </w:footnote>
  <w:footnote w:id="15">
    <w:p w14:paraId="72F5E450" w14:textId="4CDD5009" w:rsidR="000E3CC4" w:rsidRPr="00370A69" w:rsidRDefault="000E3CC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proofErr w:type="spellStart"/>
      <w:r w:rsidR="00192D76" w:rsidRPr="00370A69">
        <w:rPr>
          <w:rFonts w:ascii="Times New Roman" w:hAnsi="Times New Roman" w:cs="Times New Roman"/>
          <w:lang w:val="en-AU"/>
        </w:rPr>
        <w:t>Allehone</w:t>
      </w:r>
      <w:proofErr w:type="spellEnd"/>
      <w:r w:rsidR="00192D76" w:rsidRPr="00370A69">
        <w:rPr>
          <w:rFonts w:ascii="Times New Roman" w:hAnsi="Times New Roman" w:cs="Times New Roman"/>
          <w:lang w:val="en-AU"/>
        </w:rPr>
        <w:t xml:space="preserve"> M Abebe, ‘Of Shaming and Bargaining: African States and the Universal Periodic Review of the United Nations Human Rights Council’ (2009) </w:t>
      </w:r>
      <w:r w:rsidR="00192D76" w:rsidRPr="00370A69">
        <w:rPr>
          <w:rFonts w:ascii="Times New Roman" w:hAnsi="Times New Roman" w:cs="Times New Roman"/>
          <w:i/>
          <w:lang w:val="en-AU"/>
        </w:rPr>
        <w:t>Human Rights Law Review</w:t>
      </w:r>
      <w:r w:rsidR="00192D76" w:rsidRPr="00370A69">
        <w:rPr>
          <w:rFonts w:ascii="Times New Roman" w:hAnsi="Times New Roman" w:cs="Times New Roman"/>
          <w:lang w:val="en-AU"/>
        </w:rPr>
        <w:t xml:space="preserve"> 3, 29.</w:t>
      </w:r>
    </w:p>
  </w:footnote>
  <w:footnote w:id="16">
    <w:p w14:paraId="5D5CC6E0" w14:textId="08F41409" w:rsidR="0057148B" w:rsidRPr="00370A69" w:rsidRDefault="0057148B"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bookmarkStart w:id="0" w:name="_Hlk204009279"/>
      <w:r w:rsidRPr="00370A69">
        <w:rPr>
          <w:rFonts w:ascii="Times New Roman" w:hAnsi="Times New Roman" w:cs="Times New Roman"/>
          <w:i/>
          <w:iCs/>
          <w:lang w:val="en-AU"/>
        </w:rPr>
        <w:t>Institution Building of the United Nations Human Rights Council</w:t>
      </w:r>
      <w:r w:rsidR="00012161">
        <w:rPr>
          <w:rFonts w:ascii="Times New Roman" w:hAnsi="Times New Roman" w:cs="Times New Roman"/>
          <w:i/>
          <w:iCs/>
          <w:lang w:val="en-AU"/>
        </w:rPr>
        <w:t xml:space="preserve"> </w:t>
      </w:r>
      <w:r w:rsidR="00012161">
        <w:rPr>
          <w:rFonts w:ascii="Times New Roman" w:hAnsi="Times New Roman" w:cs="Times New Roman"/>
          <w:lang w:val="en-AU"/>
        </w:rPr>
        <w:t>(n 10)</w:t>
      </w:r>
      <w:r w:rsidRPr="00370A69">
        <w:rPr>
          <w:rFonts w:ascii="Times New Roman" w:hAnsi="Times New Roman" w:cs="Times New Roman"/>
          <w:iCs/>
          <w:lang w:val="en-AU"/>
        </w:rPr>
        <w:t xml:space="preserve"> </w:t>
      </w:r>
      <w:bookmarkEnd w:id="0"/>
      <w:r w:rsidRPr="00370A69">
        <w:rPr>
          <w:rFonts w:ascii="Times New Roman" w:hAnsi="Times New Roman" w:cs="Times New Roman"/>
          <w:lang w:val="en-AU"/>
        </w:rPr>
        <w:t>[15] (a).</w:t>
      </w:r>
    </w:p>
  </w:footnote>
  <w:footnote w:id="17">
    <w:p w14:paraId="74D0F570" w14:textId="6D63FDD7" w:rsidR="00C957B0" w:rsidRPr="00370A69" w:rsidRDefault="00C957B0"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UPR Info</w:t>
      </w:r>
      <w:r w:rsidR="006F3062" w:rsidRPr="00370A69">
        <w:rPr>
          <w:rFonts w:ascii="Times New Roman" w:hAnsi="Times New Roman" w:cs="Times New Roman"/>
        </w:rPr>
        <w:t>, ‘</w:t>
      </w:r>
      <w:r w:rsidRPr="00370A69">
        <w:rPr>
          <w:rFonts w:ascii="Times New Roman" w:hAnsi="Times New Roman" w:cs="Times New Roman"/>
        </w:rPr>
        <w:t>For impact on the ground the UPR needs SMART recommendations</w:t>
      </w:r>
      <w:r w:rsidR="006F3062" w:rsidRPr="00370A69">
        <w:rPr>
          <w:rFonts w:ascii="Times New Roman" w:hAnsi="Times New Roman" w:cs="Times New Roman"/>
        </w:rPr>
        <w:t xml:space="preserve">’ (2015) </w:t>
      </w:r>
      <w:r w:rsidR="007D09F4" w:rsidRPr="00370A69">
        <w:rPr>
          <w:rFonts w:ascii="Times New Roman" w:hAnsi="Times New Roman" w:cs="Times New Roman"/>
        </w:rPr>
        <w:t xml:space="preserve">20, </w:t>
      </w:r>
      <w:r w:rsidR="006F3062" w:rsidRPr="00370A69">
        <w:rPr>
          <w:rFonts w:ascii="Times New Roman" w:hAnsi="Times New Roman" w:cs="Times New Roman"/>
        </w:rPr>
        <w:t xml:space="preserve">available at </w:t>
      </w:r>
      <w:r w:rsidRPr="00370A69">
        <w:rPr>
          <w:rFonts w:ascii="Times New Roman" w:hAnsi="Times New Roman" w:cs="Times New Roman"/>
        </w:rPr>
        <w:t xml:space="preserve"> </w:t>
      </w:r>
      <w:hyperlink r:id="rId2" w:history="1">
        <w:r w:rsidR="006F3062" w:rsidRPr="00370A69">
          <w:rPr>
            <w:rStyle w:val="Hyperlink"/>
            <w:rFonts w:ascii="Times New Roman" w:hAnsi="Times New Roman" w:cs="Times New Roman"/>
          </w:rPr>
          <w:t>https://bit.ly/3GBLJ70</w:t>
        </w:r>
      </w:hyperlink>
      <w:r w:rsidR="006F3062" w:rsidRPr="00370A69">
        <w:rPr>
          <w:rFonts w:ascii="Times New Roman" w:hAnsi="Times New Roman" w:cs="Times New Roman"/>
        </w:rPr>
        <w:t xml:space="preserve"> </w:t>
      </w:r>
    </w:p>
  </w:footnote>
  <w:footnote w:id="18">
    <w:p w14:paraId="7540C01E" w14:textId="39079C31" w:rsidR="00EB784F" w:rsidRPr="00370A69" w:rsidRDefault="00EB784F"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Damian Etone, </w:t>
      </w:r>
      <w:r w:rsidRPr="00370A69">
        <w:rPr>
          <w:rFonts w:ascii="Times New Roman" w:hAnsi="Times New Roman" w:cs="Times New Roman"/>
          <w:i/>
          <w:iCs/>
        </w:rPr>
        <w:t xml:space="preserve">The Human Rights Council: The Impact of the Universal Periodic Review in Africa </w:t>
      </w:r>
      <w:r w:rsidRPr="00370A69">
        <w:rPr>
          <w:rFonts w:ascii="Times New Roman" w:hAnsi="Times New Roman" w:cs="Times New Roman"/>
        </w:rPr>
        <w:t>(Routledge 2020) 60-65, 101-105, and 153-157.</w:t>
      </w:r>
    </w:p>
  </w:footnote>
  <w:footnote w:id="19">
    <w:p w14:paraId="0CFE38E2" w14:textId="7A508117" w:rsidR="00EB459A" w:rsidRPr="00370A69" w:rsidRDefault="00EB459A"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See </w:t>
      </w:r>
      <w:proofErr w:type="spellStart"/>
      <w:r w:rsidRPr="00370A69">
        <w:rPr>
          <w:rFonts w:ascii="Times New Roman" w:hAnsi="Times New Roman" w:cs="Times New Roman"/>
        </w:rPr>
        <w:t>Miloon</w:t>
      </w:r>
      <w:proofErr w:type="spellEnd"/>
      <w:r w:rsidRPr="00370A69">
        <w:rPr>
          <w:rFonts w:ascii="Times New Roman" w:hAnsi="Times New Roman" w:cs="Times New Roman"/>
        </w:rPr>
        <w:t xml:space="preserve"> Kothari, ‘Study on Emerging Good Practices from the Universal Periodic Review’ (2021) 96; </w:t>
      </w:r>
      <w:proofErr w:type="spellStart"/>
      <w:r w:rsidR="00761CA7">
        <w:rPr>
          <w:rFonts w:ascii="Times New Roman" w:hAnsi="Times New Roman" w:cs="Times New Roman"/>
        </w:rPr>
        <w:t>Etone</w:t>
      </w:r>
      <w:proofErr w:type="spellEnd"/>
      <w:r w:rsidR="00761CA7">
        <w:rPr>
          <w:rFonts w:ascii="Times New Roman" w:hAnsi="Times New Roman" w:cs="Times New Roman"/>
        </w:rPr>
        <w:t xml:space="preserve"> (n 17)</w:t>
      </w:r>
      <w:r w:rsidRPr="00370A69">
        <w:rPr>
          <w:rFonts w:ascii="Times New Roman" w:hAnsi="Times New Roman" w:cs="Times New Roman"/>
        </w:rPr>
        <w:t>; McGaughey</w:t>
      </w:r>
      <w:r w:rsidR="006E32CB">
        <w:rPr>
          <w:rFonts w:ascii="Times New Roman" w:hAnsi="Times New Roman" w:cs="Times New Roman"/>
        </w:rPr>
        <w:t xml:space="preserve"> (n 7).</w:t>
      </w:r>
    </w:p>
  </w:footnote>
  <w:footnote w:id="20">
    <w:p w14:paraId="0D7B6E43" w14:textId="275EB1B6" w:rsidR="005D5640" w:rsidRPr="00370A69" w:rsidRDefault="005D5640"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00761CA7">
        <w:rPr>
          <w:rFonts w:ascii="Times New Roman" w:hAnsi="Times New Roman" w:cs="Times New Roman"/>
        </w:rPr>
        <w:t xml:space="preserve"> </w:t>
      </w:r>
      <w:proofErr w:type="spellStart"/>
      <w:r w:rsidRPr="00370A69">
        <w:rPr>
          <w:rFonts w:ascii="Times New Roman" w:hAnsi="Times New Roman" w:cs="Times New Roman"/>
        </w:rPr>
        <w:t>Etone</w:t>
      </w:r>
      <w:proofErr w:type="spellEnd"/>
      <w:r w:rsidR="00BA330D">
        <w:rPr>
          <w:rFonts w:ascii="Times New Roman" w:hAnsi="Times New Roman" w:cs="Times New Roman"/>
        </w:rPr>
        <w:t xml:space="preserve"> (n 17) </w:t>
      </w:r>
      <w:r w:rsidRPr="00370A69">
        <w:rPr>
          <w:rFonts w:ascii="Times New Roman" w:hAnsi="Times New Roman" w:cs="Times New Roman"/>
        </w:rPr>
        <w:t>102-103.</w:t>
      </w:r>
    </w:p>
  </w:footnote>
  <w:footnote w:id="21">
    <w:p w14:paraId="03FDB145" w14:textId="17C05C7F" w:rsidR="005D3554" w:rsidRPr="00370A69" w:rsidRDefault="005D355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Ben Schokman</w:t>
      </w:r>
      <w:r w:rsidR="00621CE5">
        <w:rPr>
          <w:rFonts w:ascii="Times New Roman" w:eastAsia="Aptos" w:hAnsi="Times New Roman" w:cs="Times New Roman"/>
        </w:rPr>
        <w:t xml:space="preserve"> and</w:t>
      </w:r>
      <w:r w:rsidRPr="00370A69">
        <w:rPr>
          <w:rFonts w:ascii="Times New Roman" w:eastAsia="Aptos" w:hAnsi="Times New Roman" w:cs="Times New Roman"/>
        </w:rPr>
        <w:t xml:space="preserve"> Phil Lynch</w:t>
      </w:r>
      <w:r w:rsidR="00905ADE">
        <w:rPr>
          <w:rFonts w:ascii="Times New Roman" w:eastAsia="Aptos" w:hAnsi="Times New Roman" w:cs="Times New Roman"/>
        </w:rPr>
        <w:t xml:space="preserve"> (n 7) </w:t>
      </w:r>
      <w:r w:rsidRPr="00370A69">
        <w:rPr>
          <w:rFonts w:ascii="Times New Roman" w:eastAsia="Aptos" w:hAnsi="Times New Roman" w:cs="Times New Roman"/>
        </w:rPr>
        <w:t>85.</w:t>
      </w:r>
    </w:p>
  </w:footnote>
  <w:footnote w:id="22">
    <w:p w14:paraId="01576B89" w14:textId="4E48AAA2" w:rsidR="007A5449" w:rsidRPr="00370A69" w:rsidRDefault="007A5449"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UPR Info ‘UPR Info Pre-sessions: Empowering human rights voices from the ground’ (2016) available at </w:t>
      </w:r>
      <w:hyperlink r:id="rId3" w:history="1">
        <w:r w:rsidRPr="00370A69">
          <w:rPr>
            <w:rStyle w:val="Hyperlink"/>
            <w:rFonts w:ascii="Times New Roman" w:hAnsi="Times New Roman" w:cs="Times New Roman"/>
          </w:rPr>
          <w:t>https://upr.info/sites/default/files/documents/2016-12/pre-sessions_web.pdf</w:t>
        </w:r>
      </w:hyperlink>
      <w:r w:rsidRPr="00370A69">
        <w:rPr>
          <w:rFonts w:ascii="Times New Roman" w:hAnsi="Times New Roman" w:cs="Times New Roman"/>
        </w:rPr>
        <w:t xml:space="preserve"> </w:t>
      </w:r>
    </w:p>
  </w:footnote>
  <w:footnote w:id="23">
    <w:p w14:paraId="628705C7" w14:textId="7AECD733" w:rsidR="00303322" w:rsidRPr="00370A69" w:rsidRDefault="00303322"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UPR Info</w:t>
      </w:r>
      <w:r w:rsidR="00E12B59">
        <w:rPr>
          <w:rFonts w:ascii="Times New Roman" w:eastAsia="Aptos" w:hAnsi="Times New Roman" w:cs="Times New Roman"/>
        </w:rPr>
        <w:t xml:space="preserve"> (n 21).</w:t>
      </w:r>
      <w:r w:rsidR="00033361" w:rsidRPr="00370A69">
        <w:rPr>
          <w:rFonts w:ascii="Times New Roman" w:eastAsia="Aptos" w:hAnsi="Times New Roman" w:cs="Times New Roman"/>
        </w:rPr>
        <w:t xml:space="preserve"> </w:t>
      </w:r>
    </w:p>
  </w:footnote>
  <w:footnote w:id="24">
    <w:p w14:paraId="4B1E4E04" w14:textId="3A83F828" w:rsidR="003C4B97" w:rsidRPr="00370A69" w:rsidRDefault="003C4B97" w:rsidP="00384885">
      <w:pPr>
        <w:spacing w:after="0" w:line="240" w:lineRule="auto"/>
        <w:jc w:val="both"/>
        <w:rPr>
          <w:rFonts w:ascii="Times New Roman" w:hAnsi="Times New Roman" w:cs="Times New Roman"/>
          <w:sz w:val="20"/>
          <w:szCs w:val="20"/>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proofErr w:type="spellStart"/>
      <w:r w:rsidRPr="00370A69">
        <w:rPr>
          <w:rFonts w:ascii="Times New Roman" w:eastAsia="Aptos" w:hAnsi="Times New Roman" w:cs="Times New Roman"/>
          <w:sz w:val="20"/>
          <w:szCs w:val="20"/>
        </w:rPr>
        <w:t>Schokman</w:t>
      </w:r>
      <w:proofErr w:type="spellEnd"/>
      <w:r w:rsidR="00621CE5">
        <w:rPr>
          <w:rFonts w:ascii="Times New Roman" w:eastAsia="Aptos" w:hAnsi="Times New Roman" w:cs="Times New Roman"/>
          <w:sz w:val="20"/>
          <w:szCs w:val="20"/>
        </w:rPr>
        <w:t xml:space="preserve"> and </w:t>
      </w:r>
      <w:r w:rsidRPr="00370A69">
        <w:rPr>
          <w:rFonts w:ascii="Times New Roman" w:eastAsia="Aptos" w:hAnsi="Times New Roman" w:cs="Times New Roman"/>
          <w:sz w:val="20"/>
          <w:szCs w:val="20"/>
        </w:rPr>
        <w:t>Lynch</w:t>
      </w:r>
      <w:r w:rsidR="00621CE5">
        <w:rPr>
          <w:rFonts w:ascii="Times New Roman" w:eastAsia="Aptos" w:hAnsi="Times New Roman" w:cs="Times New Roman"/>
          <w:sz w:val="20"/>
          <w:szCs w:val="20"/>
        </w:rPr>
        <w:t xml:space="preserve"> (n </w:t>
      </w:r>
      <w:r w:rsidR="007C1642">
        <w:rPr>
          <w:rFonts w:ascii="Times New Roman" w:eastAsia="Aptos" w:hAnsi="Times New Roman" w:cs="Times New Roman"/>
          <w:sz w:val="20"/>
          <w:szCs w:val="20"/>
        </w:rPr>
        <w:t>7</w:t>
      </w:r>
      <w:r w:rsidR="00621CE5">
        <w:rPr>
          <w:rFonts w:ascii="Times New Roman" w:eastAsia="Aptos" w:hAnsi="Times New Roman" w:cs="Times New Roman"/>
          <w:sz w:val="20"/>
          <w:szCs w:val="20"/>
        </w:rPr>
        <w:t>).</w:t>
      </w:r>
    </w:p>
  </w:footnote>
  <w:footnote w:id="25">
    <w:p w14:paraId="39A714FA" w14:textId="424F9ED4" w:rsidR="000A07D3" w:rsidRPr="00370A69" w:rsidRDefault="000A07D3"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UPR Info</w:t>
      </w:r>
      <w:r w:rsidR="006577FB">
        <w:rPr>
          <w:rFonts w:ascii="Times New Roman" w:eastAsia="Aptos" w:hAnsi="Times New Roman" w:cs="Times New Roman"/>
        </w:rPr>
        <w:t xml:space="preserve"> (n 21).</w:t>
      </w:r>
    </w:p>
  </w:footnote>
  <w:footnote w:id="26">
    <w:p w14:paraId="6368C7D5" w14:textId="20D4B93F" w:rsidR="00C71211" w:rsidRPr="00370A69" w:rsidRDefault="00C71211"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Natalie Baird, ‘The Role of International Non-governmental Organisations in the Uni-versal Periodic Review of Pacific Island States: Can ‘doing good’ be done better?’ (2015) 16(2) Melbourne Journal of International Law 1, 1-37; Fiona McGaughey, ‘The Role and Influence of Non-governmental Organisations in the Universal Periodic Review— International Context and Australian Case Study’ (2017) 17 Human Rights Law Review 421.</w:t>
      </w:r>
    </w:p>
  </w:footnote>
  <w:footnote w:id="27">
    <w:p w14:paraId="49D71289" w14:textId="391EBDB3" w:rsidR="0090389C" w:rsidRPr="00370A69" w:rsidRDefault="0090389C" w:rsidP="00384885">
      <w:pPr>
        <w:spacing w:after="0" w:line="240" w:lineRule="auto"/>
        <w:jc w:val="both"/>
        <w:rPr>
          <w:rFonts w:ascii="Times New Roman" w:hAnsi="Times New Roman" w:cs="Times New Roman"/>
          <w:sz w:val="20"/>
          <w:szCs w:val="20"/>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sz w:val="20"/>
          <w:szCs w:val="20"/>
        </w:rPr>
        <w:t xml:space="preserve">UPR Info, ‘Pre-sessions’ (UPR Info, undated) &lt; </w:t>
      </w:r>
      <w:hyperlink r:id="rId4">
        <w:r w:rsidRPr="00370A69">
          <w:rPr>
            <w:rStyle w:val="Hyperlink"/>
            <w:rFonts w:ascii="Times New Roman" w:eastAsia="Aptos" w:hAnsi="Times New Roman" w:cs="Times New Roman"/>
            <w:color w:val="467886"/>
            <w:sz w:val="20"/>
            <w:szCs w:val="20"/>
          </w:rPr>
          <w:t>https://upr.info/en/presessions</w:t>
        </w:r>
      </w:hyperlink>
      <w:r w:rsidRPr="00370A69">
        <w:rPr>
          <w:rFonts w:ascii="Times New Roman" w:eastAsia="Aptos" w:hAnsi="Times New Roman" w:cs="Times New Roman"/>
          <w:sz w:val="20"/>
          <w:szCs w:val="20"/>
        </w:rPr>
        <w:t>&gt; accessed 16 May 2025.</w:t>
      </w:r>
    </w:p>
  </w:footnote>
  <w:footnote w:id="28">
    <w:p w14:paraId="5231539F" w14:textId="593EBB6E" w:rsidR="007A5E3A" w:rsidRPr="00370A69" w:rsidRDefault="007A5E3A"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817F87">
        <w:rPr>
          <w:rFonts w:ascii="Times New Roman" w:eastAsia="Aptos" w:hAnsi="Times New Roman" w:cs="Times New Roman"/>
        </w:rPr>
        <w:t>ibid.</w:t>
      </w:r>
      <w:r w:rsidRPr="00370A69">
        <w:rPr>
          <w:rFonts w:ascii="Times New Roman" w:eastAsia="Aptos" w:hAnsi="Times New Roman" w:cs="Times New Roman"/>
        </w:rPr>
        <w:t xml:space="preserve"> </w:t>
      </w:r>
    </w:p>
  </w:footnote>
  <w:footnote w:id="29">
    <w:p w14:paraId="0B7E4AEE" w14:textId="6B605976" w:rsidR="007E7B38" w:rsidRPr="00817F87" w:rsidRDefault="007E7B3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Alice Storey and Melisa Oleschuk, </w:t>
      </w:r>
      <w:r w:rsidR="00817F87">
        <w:rPr>
          <w:rFonts w:ascii="Times New Roman" w:hAnsi="Times New Roman" w:cs="Times New Roman"/>
        </w:rPr>
        <w:t>above, n8.</w:t>
      </w:r>
    </w:p>
  </w:footnote>
  <w:footnote w:id="30">
    <w:p w14:paraId="072BBE7A" w14:textId="4B5C07EF" w:rsidR="00D13E87" w:rsidRPr="00370A69" w:rsidRDefault="00D13E87"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Ruth Alice Houghton, ‘A Puzzle for International Law: NGOs at the United Nations’ (2014) 2(2) North East Law Review 1, 6.</w:t>
      </w:r>
    </w:p>
  </w:footnote>
  <w:footnote w:id="31">
    <w:p w14:paraId="16070AF2" w14:textId="5C0940B4" w:rsidR="00D13E87" w:rsidRPr="00370A69" w:rsidRDefault="00D13E87"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BB461D" w:rsidRPr="00370A69">
        <w:rPr>
          <w:rFonts w:ascii="Times New Roman" w:hAnsi="Times New Roman" w:cs="Times New Roman"/>
        </w:rPr>
        <w:t>ibid.</w:t>
      </w:r>
    </w:p>
  </w:footnote>
  <w:footnote w:id="32">
    <w:p w14:paraId="43B3A921" w14:textId="3FBE65CD" w:rsidR="003944EF" w:rsidRPr="00370A69" w:rsidRDefault="003944EF"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Hans Peter Schmitz and Kathry Sikkink, ‘International Human Rights’ in Walter Carlsnaes, in Thomas Risse and Beth A. Simmons (eds.) </w:t>
      </w:r>
      <w:r w:rsidRPr="00370A69">
        <w:rPr>
          <w:rFonts w:ascii="Times New Roman" w:hAnsi="Times New Roman" w:cs="Times New Roman"/>
          <w:i/>
          <w:iCs/>
        </w:rPr>
        <w:t>Handbook of International Relations</w:t>
      </w:r>
      <w:r w:rsidRPr="00370A69">
        <w:rPr>
          <w:rFonts w:ascii="Times New Roman" w:hAnsi="Times New Roman" w:cs="Times New Roman"/>
        </w:rPr>
        <w:t xml:space="preserve"> (Sage 2002) 827-851.</w:t>
      </w:r>
    </w:p>
  </w:footnote>
  <w:footnote w:id="33">
    <w:p w14:paraId="7A427332" w14:textId="0F46452F" w:rsidR="00417DFC" w:rsidRPr="00370A69" w:rsidRDefault="00417DFC"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Ilias </w:t>
      </w:r>
      <w:proofErr w:type="spellStart"/>
      <w:r w:rsidRPr="00370A69">
        <w:rPr>
          <w:rFonts w:ascii="Times New Roman" w:hAnsi="Times New Roman" w:cs="Times New Roman"/>
        </w:rPr>
        <w:t>Bantekas</w:t>
      </w:r>
      <w:proofErr w:type="spellEnd"/>
      <w:r w:rsidRPr="00370A69">
        <w:rPr>
          <w:rFonts w:ascii="Times New Roman" w:hAnsi="Times New Roman" w:cs="Times New Roman"/>
        </w:rPr>
        <w:t xml:space="preserve"> and Lutz Oette, </w:t>
      </w:r>
      <w:r w:rsidRPr="00370A69">
        <w:rPr>
          <w:rFonts w:ascii="Times New Roman" w:hAnsi="Times New Roman" w:cs="Times New Roman"/>
          <w:i/>
          <w:iCs/>
        </w:rPr>
        <w:t>International Human Rights Law and Practice</w:t>
      </w:r>
      <w:r w:rsidRPr="00370A69">
        <w:rPr>
          <w:rFonts w:ascii="Times New Roman" w:hAnsi="Times New Roman" w:cs="Times New Roman"/>
        </w:rPr>
        <w:t xml:space="preserve"> (CUP 2020) 116.</w:t>
      </w:r>
    </w:p>
  </w:footnote>
  <w:footnote w:id="34">
    <w:p w14:paraId="12DE89C6" w14:textId="5477B92D" w:rsidR="004A63C5" w:rsidRPr="00370A69" w:rsidRDefault="004A63C5"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ibid, 117.</w:t>
      </w:r>
    </w:p>
  </w:footnote>
  <w:footnote w:id="35">
    <w:p w14:paraId="1A2DB6DC" w14:textId="2A995AF9" w:rsidR="007E74E5" w:rsidRPr="00370A69" w:rsidRDefault="007E74E5"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color w:val="000000" w:themeColor="text1"/>
        </w:rPr>
        <w:t>Baird</w:t>
      </w:r>
      <w:r w:rsidR="00ED731E">
        <w:rPr>
          <w:rFonts w:ascii="Times New Roman" w:eastAsia="Aptos" w:hAnsi="Times New Roman" w:cs="Times New Roman"/>
          <w:color w:val="000000" w:themeColor="text1"/>
        </w:rPr>
        <w:t xml:space="preserve"> (n 25) </w:t>
      </w:r>
      <w:r w:rsidRPr="00370A69">
        <w:rPr>
          <w:rFonts w:ascii="Times New Roman" w:eastAsia="Aptos" w:hAnsi="Times New Roman" w:cs="Times New Roman"/>
          <w:color w:val="000000" w:themeColor="text1"/>
        </w:rPr>
        <w:t>35.</w:t>
      </w:r>
    </w:p>
  </w:footnote>
  <w:footnote w:id="36">
    <w:p w14:paraId="6C6604DE" w14:textId="23C83197" w:rsidR="002926B9" w:rsidRPr="00370A69" w:rsidRDefault="002926B9"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McGaughey</w:t>
      </w:r>
      <w:r w:rsidR="006E32CB">
        <w:rPr>
          <w:rFonts w:ascii="Times New Roman" w:eastAsia="Aptos" w:hAnsi="Times New Roman" w:cs="Times New Roman"/>
        </w:rPr>
        <w:t xml:space="preserve"> (n 7) </w:t>
      </w:r>
      <w:r w:rsidRPr="00370A69">
        <w:rPr>
          <w:rFonts w:ascii="Times New Roman" w:eastAsia="Aptos" w:hAnsi="Times New Roman" w:cs="Times New Roman"/>
        </w:rPr>
        <w:t>436-437.</w:t>
      </w:r>
    </w:p>
  </w:footnote>
  <w:footnote w:id="37">
    <w:p w14:paraId="688D8A58" w14:textId="2781D72E" w:rsidR="008044CA" w:rsidRPr="00370A69" w:rsidRDefault="008044CA"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257B07" w:rsidRPr="00370A69">
        <w:rPr>
          <w:rFonts w:ascii="Times New Roman" w:eastAsia="Aptos" w:hAnsi="Times New Roman" w:cs="Times New Roman"/>
        </w:rPr>
        <w:t>UPR-Info, ‘4 Sudanese defenders banned from participating in UPR Info Pre-session’ (UPR Info 31 March 2016) &lt;https://upr.info/fr/node/1911 &gt; accessed 20 May 2025.</w:t>
      </w:r>
    </w:p>
  </w:footnote>
  <w:footnote w:id="38">
    <w:p w14:paraId="4C73397A" w14:textId="3D7DAFB0" w:rsidR="008E0BE3" w:rsidRPr="00370A69" w:rsidRDefault="008E0BE3"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See UN Human Rights Council, ‘Report of the Secretary General: Cooperation with the United Nations, its representatives and mechanisms in the field of human rights’ (20 August 2024) UN Doc A/HRC/57/60, para 40-111.</w:t>
      </w:r>
    </w:p>
  </w:footnote>
  <w:footnote w:id="39">
    <w:p w14:paraId="5FA7FBC4" w14:textId="69D66934" w:rsidR="003A1C08" w:rsidRPr="00370A69" w:rsidRDefault="003A1C0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Storey and Oleschuk</w:t>
      </w:r>
      <w:r w:rsidR="006E32CB">
        <w:rPr>
          <w:rFonts w:ascii="Times New Roman" w:hAnsi="Times New Roman" w:cs="Times New Roman"/>
        </w:rPr>
        <w:t xml:space="preserve"> (</w:t>
      </w:r>
      <w:r w:rsidR="00817F87">
        <w:rPr>
          <w:rFonts w:ascii="Times New Roman" w:hAnsi="Times New Roman" w:cs="Times New Roman"/>
        </w:rPr>
        <w:t>above n</w:t>
      </w:r>
      <w:r w:rsidR="006E32CB">
        <w:rPr>
          <w:rFonts w:ascii="Times New Roman" w:hAnsi="Times New Roman" w:cs="Times New Roman"/>
        </w:rPr>
        <w:t xml:space="preserve"> </w:t>
      </w:r>
      <w:r w:rsidR="00817F87">
        <w:rPr>
          <w:rFonts w:ascii="Times New Roman" w:hAnsi="Times New Roman" w:cs="Times New Roman"/>
        </w:rPr>
        <w:t>8</w:t>
      </w:r>
      <w:r w:rsidR="006E32CB">
        <w:rPr>
          <w:rFonts w:ascii="Times New Roman" w:hAnsi="Times New Roman" w:cs="Times New Roman"/>
        </w:rPr>
        <w:t>)</w:t>
      </w:r>
      <w:r w:rsidR="00817F87">
        <w:rPr>
          <w:rFonts w:ascii="Times New Roman" w:hAnsi="Times New Roman" w:cs="Times New Roman"/>
        </w:rPr>
        <w:t xml:space="preserve"> </w:t>
      </w:r>
      <w:r w:rsidRPr="00370A69">
        <w:rPr>
          <w:rFonts w:ascii="Times New Roman" w:hAnsi="Times New Roman" w:cs="Times New Roman"/>
        </w:rPr>
        <w:t>27.</w:t>
      </w:r>
    </w:p>
  </w:footnote>
  <w:footnote w:id="40">
    <w:p w14:paraId="10B39A48" w14:textId="04CDCD77" w:rsidR="00567348" w:rsidRPr="00370A69" w:rsidRDefault="00567348" w:rsidP="00384885">
      <w:pPr>
        <w:spacing w:after="0" w:line="240" w:lineRule="auto"/>
        <w:jc w:val="both"/>
        <w:rPr>
          <w:rFonts w:ascii="Times New Roman" w:hAnsi="Times New Roman" w:cs="Times New Roman"/>
          <w:sz w:val="20"/>
          <w:szCs w:val="20"/>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0D69F6" w:rsidRPr="00370A69">
        <w:rPr>
          <w:rFonts w:ascii="Times New Roman" w:eastAsia="Aptos" w:hAnsi="Times New Roman" w:cs="Times New Roman"/>
          <w:sz w:val="20"/>
          <w:szCs w:val="20"/>
        </w:rPr>
        <w:t>UPR Info</w:t>
      </w:r>
      <w:r w:rsidR="006577FB">
        <w:rPr>
          <w:rFonts w:ascii="Times New Roman" w:eastAsia="Aptos" w:hAnsi="Times New Roman" w:cs="Times New Roman"/>
          <w:sz w:val="20"/>
          <w:szCs w:val="20"/>
        </w:rPr>
        <w:t xml:space="preserve"> (n 21) </w:t>
      </w:r>
      <w:r w:rsidR="000D69F6" w:rsidRPr="00370A69">
        <w:rPr>
          <w:rFonts w:ascii="Times New Roman" w:eastAsia="Aptos" w:hAnsi="Times New Roman" w:cs="Times New Roman"/>
          <w:sz w:val="20"/>
          <w:szCs w:val="20"/>
        </w:rPr>
        <w:t>36</w:t>
      </w:r>
      <w:r w:rsidR="006577FB">
        <w:rPr>
          <w:rFonts w:ascii="Times New Roman" w:eastAsia="Aptos" w:hAnsi="Times New Roman" w:cs="Times New Roman"/>
          <w:sz w:val="20"/>
          <w:szCs w:val="20"/>
        </w:rPr>
        <w:t>.</w:t>
      </w:r>
    </w:p>
  </w:footnote>
  <w:footnote w:id="41">
    <w:p w14:paraId="669F39E5" w14:textId="09024282" w:rsidR="00B00015" w:rsidRPr="00370A69" w:rsidRDefault="00B00015"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4302D3" w:rsidRPr="00370A69">
        <w:rPr>
          <w:rFonts w:ascii="Times New Roman" w:hAnsi="Times New Roman" w:cs="Times New Roman"/>
        </w:rPr>
        <w:t>ibid.</w:t>
      </w:r>
    </w:p>
  </w:footnote>
  <w:footnote w:id="42">
    <w:p w14:paraId="23245792" w14:textId="3A069DB9" w:rsidR="004302D3" w:rsidRPr="00370A69" w:rsidRDefault="004302D3"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ibid, 16.</w:t>
      </w:r>
    </w:p>
  </w:footnote>
  <w:footnote w:id="43">
    <w:p w14:paraId="444C1FDE" w14:textId="0F26F875" w:rsidR="00C125BD" w:rsidRPr="00370A69" w:rsidRDefault="00C125B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Storey and Oleschuk </w:t>
      </w:r>
      <w:r w:rsidR="006E32CB">
        <w:rPr>
          <w:rFonts w:ascii="Times New Roman" w:hAnsi="Times New Roman" w:cs="Times New Roman"/>
        </w:rPr>
        <w:t>(</w:t>
      </w:r>
      <w:r w:rsidR="00817F87">
        <w:rPr>
          <w:rFonts w:ascii="Times New Roman" w:hAnsi="Times New Roman" w:cs="Times New Roman"/>
        </w:rPr>
        <w:t>n</w:t>
      </w:r>
      <w:r w:rsidR="006E32CB">
        <w:rPr>
          <w:rFonts w:ascii="Times New Roman" w:hAnsi="Times New Roman" w:cs="Times New Roman"/>
        </w:rPr>
        <w:t xml:space="preserve"> </w:t>
      </w:r>
      <w:r w:rsidR="00817F87">
        <w:rPr>
          <w:rFonts w:ascii="Times New Roman" w:hAnsi="Times New Roman" w:cs="Times New Roman"/>
        </w:rPr>
        <w:t>8</w:t>
      </w:r>
      <w:r w:rsidR="006E32CB">
        <w:rPr>
          <w:rFonts w:ascii="Times New Roman" w:hAnsi="Times New Roman" w:cs="Times New Roman"/>
        </w:rPr>
        <w:t>)</w:t>
      </w:r>
      <w:r w:rsidR="00817F87">
        <w:rPr>
          <w:rFonts w:ascii="Times New Roman" w:hAnsi="Times New Roman" w:cs="Times New Roman"/>
        </w:rPr>
        <w:t xml:space="preserve"> </w:t>
      </w:r>
      <w:r w:rsidRPr="00370A69">
        <w:rPr>
          <w:rFonts w:ascii="Times New Roman" w:hAnsi="Times New Roman" w:cs="Times New Roman"/>
        </w:rPr>
        <w:t>20.</w:t>
      </w:r>
    </w:p>
  </w:footnote>
  <w:footnote w:id="44">
    <w:p w14:paraId="487FB338" w14:textId="24B98B9D" w:rsidR="00B85B64" w:rsidRPr="00370A69" w:rsidRDefault="00B85B64"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McGaughey</w:t>
      </w:r>
      <w:r w:rsidR="006E32CB">
        <w:rPr>
          <w:rFonts w:ascii="Times New Roman" w:eastAsia="Aptos" w:hAnsi="Times New Roman" w:cs="Times New Roman"/>
        </w:rPr>
        <w:t xml:space="preserve"> (n 7) </w:t>
      </w:r>
      <w:r w:rsidRPr="00370A69">
        <w:rPr>
          <w:rFonts w:ascii="Times New Roman" w:eastAsia="Aptos" w:hAnsi="Times New Roman" w:cs="Times New Roman"/>
        </w:rPr>
        <w:t>434.</w:t>
      </w:r>
    </w:p>
  </w:footnote>
  <w:footnote w:id="45">
    <w:p w14:paraId="29DA9B5B" w14:textId="69E3A45F" w:rsidR="00EA0FB8" w:rsidRPr="00370A69" w:rsidRDefault="00EA0FB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 xml:space="preserve">Gay and Lesbian Coalition of Kenya, ‘Statements UPR Pre-session on Kenya’ (Gay and Lesbian Coalition of Kenya, 10 December 2019) </w:t>
      </w:r>
      <w:r w:rsidR="007910B3" w:rsidRPr="00370A69">
        <w:rPr>
          <w:rFonts w:ascii="Times New Roman" w:eastAsia="Aptos" w:hAnsi="Times New Roman" w:cs="Times New Roman"/>
        </w:rPr>
        <w:t xml:space="preserve">2, </w:t>
      </w:r>
      <w:r w:rsidRPr="00370A69">
        <w:rPr>
          <w:rFonts w:ascii="Times New Roman" w:eastAsia="Aptos" w:hAnsi="Times New Roman" w:cs="Times New Roman"/>
        </w:rPr>
        <w:t xml:space="preserve">available at </w:t>
      </w:r>
      <w:hyperlink r:id="rId5" w:history="1">
        <w:r w:rsidRPr="00370A69">
          <w:rPr>
            <w:rStyle w:val="Hyperlink"/>
            <w:rFonts w:ascii="Times New Roman" w:eastAsia="Aptos" w:hAnsi="Times New Roman" w:cs="Times New Roman"/>
          </w:rPr>
          <w:t>https://upr.info/sites/default/files/documents/2019-12/2._gay_and_lesbian_coalition_of_kenya_stmt.pdf</w:t>
        </w:r>
      </w:hyperlink>
      <w:r w:rsidRPr="00370A69">
        <w:rPr>
          <w:rFonts w:ascii="Times New Roman" w:eastAsia="Aptos" w:hAnsi="Times New Roman" w:cs="Times New Roman"/>
        </w:rPr>
        <w:t xml:space="preserve"> </w:t>
      </w:r>
    </w:p>
  </w:footnote>
  <w:footnote w:id="46">
    <w:p w14:paraId="78E75C01" w14:textId="3430A8F1" w:rsidR="00443D58" w:rsidRPr="00370A69" w:rsidRDefault="00443D5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UN Human Rights Council ‘Report of the Working Group on the Universal Periodic Review – Kenya’ (20 March 2020) UN Doc A/HRC/44/9, paras 144.25, 144.26, and 142.30.</w:t>
      </w:r>
    </w:p>
  </w:footnote>
  <w:footnote w:id="47">
    <w:p w14:paraId="150B3775" w14:textId="03A1AE0F" w:rsidR="004C55D3" w:rsidRPr="00370A69" w:rsidRDefault="004C55D3" w:rsidP="00384885">
      <w:pPr>
        <w:spacing w:after="0" w:line="240" w:lineRule="auto"/>
        <w:jc w:val="both"/>
        <w:rPr>
          <w:rFonts w:ascii="Times New Roman" w:hAnsi="Times New Roman" w:cs="Times New Roman"/>
          <w:sz w:val="20"/>
          <w:szCs w:val="20"/>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hAnsi="Times New Roman" w:cs="Times New Roman"/>
          <w:sz w:val="20"/>
          <w:szCs w:val="20"/>
        </w:rPr>
        <w:t xml:space="preserve">UN Human Rights Council ‘Report of the Working Group on the Universal Periodic Review – Zambia’ (11 April 2023) UN Doc A/HRC/53/14, paras </w:t>
      </w:r>
      <w:r w:rsidRPr="00370A69">
        <w:rPr>
          <w:rFonts w:ascii="Times New Roman" w:eastAsia="Times New Roman" w:hAnsi="Times New Roman" w:cs="Times New Roman"/>
          <w:sz w:val="20"/>
          <w:szCs w:val="20"/>
        </w:rPr>
        <w:t>127.181 and 127.180.</w:t>
      </w:r>
    </w:p>
  </w:footnote>
  <w:footnote w:id="48">
    <w:p w14:paraId="75C0D014" w14:textId="66D7CC2C" w:rsidR="00753A2D" w:rsidRPr="00370A69" w:rsidRDefault="00753A2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Aptos" w:hAnsi="Times New Roman" w:cs="Times New Roman"/>
        </w:rPr>
        <w:t xml:space="preserve">Human Rights Commission Zambia, ‘Statement UPR Pre-session on Zambia’ (HRC 28 November 2022) 4available at </w:t>
      </w:r>
      <w:hyperlink r:id="rId6" w:history="1">
        <w:r w:rsidRPr="00370A69">
          <w:rPr>
            <w:rStyle w:val="Hyperlink"/>
            <w:rFonts w:ascii="Times New Roman" w:eastAsia="Aptos" w:hAnsi="Times New Roman" w:cs="Times New Roman"/>
          </w:rPr>
          <w:t>https://upr.info/sites/default/files/country-document/2022-11/HRC_Statement_Presession42_Zambia.pdf</w:t>
        </w:r>
      </w:hyperlink>
      <w:r w:rsidRPr="00370A69">
        <w:rPr>
          <w:rFonts w:ascii="Times New Roman" w:eastAsia="Aptos" w:hAnsi="Times New Roman" w:cs="Times New Roman"/>
        </w:rPr>
        <w:t xml:space="preserve">  accessed 19 May 2025.</w:t>
      </w:r>
    </w:p>
  </w:footnote>
  <w:footnote w:id="49">
    <w:p w14:paraId="6AA2C2DC" w14:textId="4F18809F" w:rsidR="00BE34A9" w:rsidRPr="00370A69" w:rsidRDefault="00BE34A9"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proofErr w:type="spellStart"/>
      <w:r w:rsidRPr="00370A69">
        <w:rPr>
          <w:rFonts w:ascii="Times New Roman" w:eastAsia="Calibri" w:hAnsi="Times New Roman" w:cs="Times New Roman"/>
          <w:color w:val="000000" w:themeColor="text1"/>
        </w:rPr>
        <w:t>Schokman</w:t>
      </w:r>
      <w:proofErr w:type="spellEnd"/>
      <w:r w:rsidRPr="00370A69">
        <w:rPr>
          <w:rFonts w:ascii="Times New Roman" w:eastAsia="Calibri" w:hAnsi="Times New Roman" w:cs="Times New Roman"/>
          <w:color w:val="000000" w:themeColor="text1"/>
        </w:rPr>
        <w:t xml:space="preserve"> and Lynch</w:t>
      </w:r>
      <w:r w:rsidR="007C1642">
        <w:rPr>
          <w:rFonts w:ascii="Times New Roman" w:eastAsia="Calibri" w:hAnsi="Times New Roman" w:cs="Times New Roman"/>
          <w:color w:val="000000" w:themeColor="text1"/>
        </w:rPr>
        <w:t xml:space="preserve"> (n 7) </w:t>
      </w:r>
      <w:r w:rsidRPr="00370A69">
        <w:rPr>
          <w:rFonts w:ascii="Times New Roman" w:eastAsia="Calibri" w:hAnsi="Times New Roman" w:cs="Times New Roman"/>
          <w:color w:val="000000" w:themeColor="text1"/>
        </w:rPr>
        <w:t>143.</w:t>
      </w:r>
    </w:p>
  </w:footnote>
  <w:footnote w:id="50">
    <w:p w14:paraId="2C2AF240" w14:textId="68C1BB77" w:rsidR="001D198D" w:rsidRPr="00370A69" w:rsidRDefault="001D198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Calibri" w:hAnsi="Times New Roman" w:cs="Times New Roman"/>
          <w:color w:val="000000" w:themeColor="text1"/>
        </w:rPr>
        <w:t xml:space="preserve">Sara Joseph, ‘Global media coverage of the Universal Periodic Review process’ in Hilary Charlesworth and Emma Larking (eds.), </w:t>
      </w:r>
      <w:r w:rsidRPr="00370A69">
        <w:rPr>
          <w:rFonts w:ascii="Times New Roman" w:eastAsia="Calibri" w:hAnsi="Times New Roman" w:cs="Times New Roman"/>
          <w:i/>
          <w:iCs/>
          <w:color w:val="000000" w:themeColor="text1"/>
        </w:rPr>
        <w:t xml:space="preserve">Human Rights and the Universal Periodic Review </w:t>
      </w:r>
      <w:r w:rsidRPr="00370A69">
        <w:rPr>
          <w:rFonts w:ascii="Times New Roman" w:eastAsia="Calibri" w:hAnsi="Times New Roman" w:cs="Times New Roman"/>
          <w:color w:val="000000" w:themeColor="text1"/>
        </w:rPr>
        <w:t>(CUP 2014).</w:t>
      </w:r>
    </w:p>
  </w:footnote>
  <w:footnote w:id="51">
    <w:p w14:paraId="16E91A2A" w14:textId="68874A20" w:rsidR="001D198D" w:rsidRPr="00370A69" w:rsidRDefault="001D198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ibid, 148.</w:t>
      </w:r>
    </w:p>
  </w:footnote>
  <w:footnote w:id="52">
    <w:p w14:paraId="2D3F0E18" w14:textId="3A415D47" w:rsidR="001D198D" w:rsidRPr="00370A69" w:rsidRDefault="001D198D"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ibid.</w:t>
      </w:r>
    </w:p>
  </w:footnote>
  <w:footnote w:id="53">
    <w:p w14:paraId="2D35B808" w14:textId="0B25C6A5" w:rsidR="009E0135" w:rsidRPr="00370A69" w:rsidRDefault="009E0135"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Calibri" w:hAnsi="Times New Roman" w:cs="Times New Roman"/>
          <w:color w:val="000000" w:themeColor="text1"/>
        </w:rPr>
        <w:t xml:space="preserve">Child Rights Connect, ‘Model UPR advocacy strategy for NGOs’ (Child Rights Connect, August 2015) 1-2, available at https://www.childrightsconnect.org/wp-content/uploads/2015/08/UPR-FS-3-NGO-Advocacy_ENGLISH_table.pdf accessed 4 June 2025. </w:t>
      </w:r>
      <w:r w:rsidRPr="00370A69">
        <w:rPr>
          <w:rFonts w:ascii="Times New Roman" w:hAnsi="Times New Roman" w:cs="Times New Roman"/>
        </w:rPr>
        <w:t xml:space="preserve"> </w:t>
      </w:r>
    </w:p>
  </w:footnote>
  <w:footnote w:id="54">
    <w:p w14:paraId="4003C92C" w14:textId="3EB5ACE0" w:rsidR="00370A69" w:rsidRPr="00370A69" w:rsidRDefault="00370A69"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Pr="00370A69">
        <w:rPr>
          <w:rFonts w:ascii="Times New Roman" w:eastAsia="Calibri" w:hAnsi="Times New Roman" w:cs="Times New Roman"/>
          <w:color w:val="000000" w:themeColor="text1"/>
        </w:rPr>
        <w:t>Child Rights Connect, ‘The Universal Periodic Review, children’s rights and the UN Committee on the Rights of the Child’ (Child Rights Connect, 21 July 2023) 3, available at https://childrightsconnect.org/wp-content/uploads/2018/01/en_factsheet-3.pdf accessed 4 June 2025.</w:t>
      </w:r>
    </w:p>
  </w:footnote>
  <w:footnote w:id="55">
    <w:p w14:paraId="4DD463A3" w14:textId="6FCEC2E0" w:rsidR="005F47EF" w:rsidRDefault="005F47EF"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 xml:space="preserve">Louisa Ashley, ‘Universal Periodic Review Prospects for Promoting Support for the United Nations Declaration on the Rights of Peasants and Other People Working in Rural Areas (UNDROP)’ in </w:t>
      </w:r>
      <w:proofErr w:type="spellStart"/>
      <w:r w:rsidRPr="007B6324">
        <w:rPr>
          <w:rFonts w:ascii="Times New Roman" w:eastAsia="Calibri" w:hAnsi="Times New Roman" w:cs="Times New Roman"/>
          <w:color w:val="000000" w:themeColor="text1"/>
        </w:rPr>
        <w:t>Etone</w:t>
      </w:r>
      <w:proofErr w:type="spellEnd"/>
      <w:r w:rsidRPr="007B6324">
        <w:rPr>
          <w:rFonts w:ascii="Times New Roman" w:eastAsia="Calibri" w:hAnsi="Times New Roman" w:cs="Times New Roman"/>
          <w:color w:val="000000" w:themeColor="text1"/>
        </w:rPr>
        <w:t>, Nazir</w:t>
      </w:r>
      <w:r w:rsidR="00391042">
        <w:rPr>
          <w:rFonts w:ascii="Times New Roman" w:eastAsia="Calibri" w:hAnsi="Times New Roman" w:cs="Times New Roman"/>
          <w:color w:val="000000" w:themeColor="text1"/>
        </w:rPr>
        <w:t xml:space="preserve"> and </w:t>
      </w:r>
      <w:r w:rsidRPr="007B6324">
        <w:rPr>
          <w:rFonts w:ascii="Times New Roman" w:eastAsia="Calibri" w:hAnsi="Times New Roman" w:cs="Times New Roman"/>
          <w:color w:val="000000" w:themeColor="text1"/>
        </w:rPr>
        <w:t>Storey</w:t>
      </w:r>
      <w:r w:rsidR="00391042">
        <w:rPr>
          <w:rFonts w:ascii="Times New Roman" w:eastAsia="Calibri" w:hAnsi="Times New Roman" w:cs="Times New Roman"/>
          <w:color w:val="000000" w:themeColor="text1"/>
        </w:rPr>
        <w:t xml:space="preserve">(n 54) </w:t>
      </w:r>
      <w:r>
        <w:rPr>
          <w:rFonts w:ascii="Times New Roman" w:eastAsia="Calibri" w:hAnsi="Times New Roman" w:cs="Times New Roman"/>
          <w:color w:val="000000" w:themeColor="text1"/>
        </w:rPr>
        <w:t>191</w:t>
      </w:r>
      <w:r w:rsidRPr="007B6324">
        <w:rPr>
          <w:rFonts w:ascii="Times New Roman" w:eastAsia="Calibri" w:hAnsi="Times New Roman" w:cs="Times New Roman"/>
          <w:color w:val="000000" w:themeColor="text1"/>
        </w:rPr>
        <w:t xml:space="preserve">. </w:t>
      </w:r>
      <w:r w:rsidRPr="007B6324">
        <w:rPr>
          <w:rFonts w:ascii="Times New Roman" w:hAnsi="Times New Roman" w:cs="Times New Roman"/>
        </w:rPr>
        <w:t xml:space="preserve"> </w:t>
      </w:r>
    </w:p>
  </w:footnote>
  <w:footnote w:id="56">
    <w:p w14:paraId="06765D42" w14:textId="1C16B943" w:rsidR="00690E16" w:rsidRDefault="00690E16"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 xml:space="preserve">Amna Nazir, Alice Storey, and Jon Yorke, ‘The Universal Periodic Review as Utopia’ in </w:t>
      </w:r>
      <w:proofErr w:type="spellStart"/>
      <w:r w:rsidRPr="007B6324">
        <w:rPr>
          <w:rFonts w:ascii="Times New Roman" w:eastAsia="Calibri" w:hAnsi="Times New Roman" w:cs="Times New Roman"/>
          <w:color w:val="000000" w:themeColor="text1"/>
        </w:rPr>
        <w:t>Etone</w:t>
      </w:r>
      <w:proofErr w:type="spellEnd"/>
      <w:r w:rsidRPr="007B6324">
        <w:rPr>
          <w:rFonts w:ascii="Times New Roman" w:eastAsia="Calibri" w:hAnsi="Times New Roman" w:cs="Times New Roman"/>
          <w:color w:val="000000" w:themeColor="text1"/>
        </w:rPr>
        <w:t xml:space="preserve">, Nazir </w:t>
      </w:r>
      <w:r w:rsidR="006D15C0">
        <w:rPr>
          <w:rFonts w:ascii="Times New Roman" w:eastAsia="Calibri" w:hAnsi="Times New Roman" w:cs="Times New Roman"/>
          <w:color w:val="000000" w:themeColor="text1"/>
        </w:rPr>
        <w:t>and</w:t>
      </w:r>
      <w:r w:rsidRPr="007B6324">
        <w:rPr>
          <w:rFonts w:ascii="Times New Roman" w:eastAsia="Calibri" w:hAnsi="Times New Roman" w:cs="Times New Roman"/>
          <w:color w:val="000000" w:themeColor="text1"/>
        </w:rPr>
        <w:t xml:space="preserve"> Storey</w:t>
      </w:r>
      <w:r w:rsidR="006D15C0">
        <w:rPr>
          <w:rFonts w:ascii="Times New Roman" w:eastAsia="Calibri" w:hAnsi="Times New Roman" w:cs="Times New Roman"/>
          <w:color w:val="000000" w:themeColor="text1"/>
        </w:rPr>
        <w:t xml:space="preserve"> (n 54) </w:t>
      </w:r>
      <w:r w:rsidRPr="007B6324">
        <w:rPr>
          <w:rFonts w:ascii="Times New Roman" w:eastAsia="Calibri" w:hAnsi="Times New Roman" w:cs="Times New Roman"/>
          <w:color w:val="000000" w:themeColor="text1"/>
        </w:rPr>
        <w:t>50.</w:t>
      </w:r>
    </w:p>
  </w:footnote>
  <w:footnote w:id="57">
    <w:p w14:paraId="6B5CF11E" w14:textId="4CDE0CF5" w:rsidR="004B579B" w:rsidRDefault="004B579B"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KNCHR, ‘Accounting for Human Rights Protection Under the UPR: The Difference Kenya’s Stakeholders Made’ (KNCHR, September 2011) available at &lt;</w:t>
      </w:r>
      <w:hyperlink r:id="rId7">
        <w:r w:rsidRPr="007B6324">
          <w:rPr>
            <w:rStyle w:val="Hyperlink"/>
            <w:rFonts w:ascii="Times New Roman" w:eastAsia="Calibri" w:hAnsi="Times New Roman" w:cs="Times New Roman"/>
          </w:rPr>
          <w:t>https://www.knchr.org/Portals/0/InternationalObligationsReports/Accounting_For_Human_Rights_Protection_Under_the_UPR.pdf?ver=2013-02-21-150102-893</w:t>
        </w:r>
      </w:hyperlink>
      <w:r w:rsidRPr="007B6324">
        <w:rPr>
          <w:rFonts w:ascii="Times New Roman" w:eastAsia="Calibri" w:hAnsi="Times New Roman" w:cs="Times New Roman"/>
          <w:color w:val="000000" w:themeColor="text1"/>
        </w:rPr>
        <w:t>&gt; accessed 20 April 202</w:t>
      </w:r>
      <w:r w:rsidR="009C481F">
        <w:rPr>
          <w:rFonts w:ascii="Times New Roman" w:eastAsia="Calibri" w:hAnsi="Times New Roman" w:cs="Times New Roman"/>
          <w:color w:val="000000" w:themeColor="text1"/>
        </w:rPr>
        <w:t>5</w:t>
      </w:r>
      <w:r w:rsidRPr="007B6324">
        <w:rPr>
          <w:rFonts w:ascii="Times New Roman" w:eastAsia="Calibri" w:hAnsi="Times New Roman" w:cs="Times New Roman"/>
          <w:color w:val="000000" w:themeColor="text1"/>
        </w:rPr>
        <w:t xml:space="preserve">.  </w:t>
      </w:r>
      <w:r w:rsidRPr="007B6324">
        <w:rPr>
          <w:rFonts w:ascii="Times New Roman" w:hAnsi="Times New Roman" w:cs="Times New Roman"/>
        </w:rPr>
        <w:t xml:space="preserve"> </w:t>
      </w:r>
    </w:p>
  </w:footnote>
  <w:footnote w:id="58">
    <w:p w14:paraId="39D7C86C" w14:textId="30559784" w:rsidR="00631632" w:rsidRDefault="00631632"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 xml:space="preserve">Kenya UPR Stakeholders’ Coalition, ‘KENYA'S 2ND CYCLE UNIVERSAL PERIODIC REVIEW MID TERM REPORT’ (October 2018) &lt; </w:t>
      </w:r>
      <w:hyperlink r:id="rId8">
        <w:r w:rsidRPr="007B6324">
          <w:rPr>
            <w:rStyle w:val="Hyperlink"/>
            <w:rFonts w:ascii="Times New Roman" w:eastAsia="Calibri" w:hAnsi="Times New Roman" w:cs="Times New Roman"/>
          </w:rPr>
          <w:t>https://www.eachrights.or.ke/ssd/2024/03/Kenya-CSO-UPR-Mid-Term-Report.pdf</w:t>
        </w:r>
      </w:hyperlink>
      <w:r w:rsidRPr="007B6324">
        <w:rPr>
          <w:rFonts w:ascii="Times New Roman" w:eastAsia="Calibri" w:hAnsi="Times New Roman" w:cs="Times New Roman"/>
          <w:color w:val="000000" w:themeColor="text1"/>
        </w:rPr>
        <w:t>&gt; accessed 23 April 202</w:t>
      </w:r>
      <w:r>
        <w:rPr>
          <w:rFonts w:ascii="Times New Roman" w:eastAsia="Calibri" w:hAnsi="Times New Roman" w:cs="Times New Roman"/>
          <w:color w:val="000000" w:themeColor="text1"/>
        </w:rPr>
        <w:t>5.</w:t>
      </w:r>
    </w:p>
  </w:footnote>
  <w:footnote w:id="59">
    <w:p w14:paraId="1696E9BD" w14:textId="28A7910A" w:rsidR="009D57F8" w:rsidRDefault="009D57F8" w:rsidP="00384885">
      <w:pPr>
        <w:pStyle w:val="FootnoteText"/>
        <w:jc w:val="both"/>
      </w:pPr>
      <w:r>
        <w:rPr>
          <w:rStyle w:val="FootnoteReference"/>
        </w:rPr>
        <w:footnoteRef/>
      </w:r>
      <w:r>
        <w:t xml:space="preserve"> </w:t>
      </w:r>
      <w:proofErr w:type="spellStart"/>
      <w:r w:rsidRPr="007B6324">
        <w:rPr>
          <w:rFonts w:ascii="Times New Roman" w:eastAsia="Calibri" w:hAnsi="Times New Roman" w:cs="Times New Roman"/>
          <w:color w:val="000000" w:themeColor="text1"/>
        </w:rPr>
        <w:t>Kathari</w:t>
      </w:r>
      <w:proofErr w:type="spellEnd"/>
      <w:r w:rsidR="00367091">
        <w:rPr>
          <w:rFonts w:ascii="Times New Roman" w:eastAsia="Calibri" w:hAnsi="Times New Roman" w:cs="Times New Roman"/>
          <w:color w:val="000000" w:themeColor="text1"/>
        </w:rPr>
        <w:t xml:space="preserve"> (n 18)</w:t>
      </w:r>
    </w:p>
  </w:footnote>
  <w:footnote w:id="60">
    <w:p w14:paraId="22AB8CAE" w14:textId="6AC0B144" w:rsidR="006A15C5" w:rsidRDefault="006A15C5"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 xml:space="preserve">The East African Centre for Human Rights, ‘The Universal Periodic Review’ (EACHR, undated) available at </w:t>
      </w:r>
      <w:hyperlink r:id="rId9" w:anchor=":~:text=Kenya's%20Stakeholders%20Coalition%20on%20the,on%20Human%20Rights%20(OHCHR" w:history="1">
        <w:r w:rsidR="00250897" w:rsidRPr="002561E8">
          <w:rPr>
            <w:rStyle w:val="Hyperlink"/>
            <w:rFonts w:ascii="Times New Roman" w:eastAsia="Calibri" w:hAnsi="Times New Roman" w:cs="Times New Roman"/>
          </w:rPr>
          <w:t>https://www.eachrights.or.ke/universal-periodic-review/#:~:text=Kenya's%20Stakeholders%20Coalition%20on%20the,on%20Human%20Rights%20(OHCHR</w:t>
        </w:r>
      </w:hyperlink>
      <w:r w:rsidR="00250897">
        <w:rPr>
          <w:rFonts w:ascii="Times New Roman" w:eastAsia="Calibri" w:hAnsi="Times New Roman" w:cs="Times New Roman"/>
          <w:color w:val="000000" w:themeColor="text1"/>
        </w:rPr>
        <w:t xml:space="preserve"> </w:t>
      </w:r>
      <w:r w:rsidRPr="007B6324">
        <w:rPr>
          <w:rFonts w:ascii="Times New Roman" w:eastAsia="Calibri" w:hAnsi="Times New Roman" w:cs="Times New Roman"/>
          <w:color w:val="000000" w:themeColor="text1"/>
        </w:rPr>
        <w:t xml:space="preserve"> accessed 21 April 202</w:t>
      </w:r>
      <w:r>
        <w:rPr>
          <w:rFonts w:ascii="Times New Roman" w:eastAsia="Calibri" w:hAnsi="Times New Roman" w:cs="Times New Roman"/>
          <w:color w:val="000000" w:themeColor="text1"/>
        </w:rPr>
        <w:t>5</w:t>
      </w:r>
      <w:r w:rsidRPr="007B6324">
        <w:rPr>
          <w:rFonts w:ascii="Times New Roman" w:eastAsia="Calibri" w:hAnsi="Times New Roman" w:cs="Times New Roman"/>
          <w:color w:val="000000" w:themeColor="text1"/>
        </w:rPr>
        <w:t>.</w:t>
      </w:r>
    </w:p>
  </w:footnote>
  <w:footnote w:id="61">
    <w:p w14:paraId="02D9C8A8" w14:textId="10841901" w:rsidR="00156723" w:rsidRDefault="00156723"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Kelin, ‘KELIN PARTICIPATES IN THE UNIVERSAL PERIODIC REVIEW KENYA STAKEHOLDERS MEET UP’ (20 July 2023) &lt;</w:t>
      </w:r>
      <w:hyperlink r:id="rId10" w:anchor=":~:text=On%2017th%20and%2018,Organizations%20working%20on%20Human%20Rights.">
        <w:r w:rsidRPr="007B6324">
          <w:rPr>
            <w:rStyle w:val="Hyperlink"/>
            <w:rFonts w:ascii="Times New Roman" w:eastAsia="Calibri" w:hAnsi="Times New Roman" w:cs="Times New Roman"/>
          </w:rPr>
          <w:t>https://www.kelinkenya.org/kelin-participates-in-the-universal-periodic-review-kenya-stakeholders-meet-up/#:~:text=On%2017th%20and%2018,Organizations%20working%20on%20Human%20Rights.</w:t>
        </w:r>
      </w:hyperlink>
      <w:r w:rsidRPr="007B6324">
        <w:rPr>
          <w:rFonts w:ascii="Times New Roman" w:eastAsia="Calibri" w:hAnsi="Times New Roman" w:cs="Times New Roman"/>
          <w:color w:val="000000" w:themeColor="text1"/>
        </w:rPr>
        <w:t>&gt; Accessed 25 April 202</w:t>
      </w:r>
      <w:r w:rsidR="00134C82">
        <w:rPr>
          <w:rFonts w:ascii="Times New Roman" w:eastAsia="Calibri" w:hAnsi="Times New Roman" w:cs="Times New Roman"/>
          <w:color w:val="000000" w:themeColor="text1"/>
        </w:rPr>
        <w:t>5</w:t>
      </w:r>
      <w:r w:rsidRPr="007B6324">
        <w:rPr>
          <w:rFonts w:ascii="Times New Roman" w:eastAsia="Calibri" w:hAnsi="Times New Roman" w:cs="Times New Roman"/>
          <w:color w:val="000000" w:themeColor="text1"/>
        </w:rPr>
        <w:t xml:space="preserve">.  </w:t>
      </w:r>
      <w:r w:rsidRPr="007B6324">
        <w:rPr>
          <w:rFonts w:ascii="Times New Roman" w:hAnsi="Times New Roman" w:cs="Times New Roman"/>
        </w:rPr>
        <w:t xml:space="preserve"> </w:t>
      </w:r>
    </w:p>
  </w:footnote>
  <w:footnote w:id="62">
    <w:p w14:paraId="5270357D" w14:textId="3F623EE1" w:rsidR="007F2689" w:rsidRDefault="007F2689" w:rsidP="00384885">
      <w:pPr>
        <w:pStyle w:val="FootnoteText"/>
        <w:jc w:val="both"/>
      </w:pPr>
      <w:r>
        <w:rPr>
          <w:rStyle w:val="FootnoteReference"/>
        </w:rPr>
        <w:footnoteRef/>
      </w:r>
      <w:r>
        <w:t xml:space="preserve"> ibid.</w:t>
      </w:r>
    </w:p>
  </w:footnote>
  <w:footnote w:id="63">
    <w:p w14:paraId="3B670517" w14:textId="1B2BFC3F" w:rsidR="007A7177" w:rsidRDefault="007A7177" w:rsidP="00384885">
      <w:pPr>
        <w:pStyle w:val="FootnoteText"/>
        <w:jc w:val="both"/>
      </w:pPr>
      <w:r>
        <w:rPr>
          <w:rStyle w:val="FootnoteReference"/>
        </w:rPr>
        <w:footnoteRef/>
      </w:r>
      <w:r>
        <w:t xml:space="preserve"> </w:t>
      </w:r>
      <w:r w:rsidRPr="007B6324">
        <w:rPr>
          <w:rFonts w:ascii="Times New Roman" w:eastAsia="Calibri" w:hAnsi="Times New Roman" w:cs="Times New Roman"/>
          <w:color w:val="000000" w:themeColor="text1"/>
        </w:rPr>
        <w:t xml:space="preserve">Office </w:t>
      </w:r>
      <w:r>
        <w:rPr>
          <w:rFonts w:ascii="Times New Roman" w:eastAsia="Calibri" w:hAnsi="Times New Roman" w:cs="Times New Roman"/>
          <w:color w:val="000000" w:themeColor="text1"/>
        </w:rPr>
        <w:t>of the</w:t>
      </w:r>
      <w:r w:rsidRPr="007B6324">
        <w:rPr>
          <w:rFonts w:ascii="Times New Roman" w:eastAsia="Calibri" w:hAnsi="Times New Roman" w:cs="Times New Roman"/>
          <w:color w:val="000000" w:themeColor="text1"/>
        </w:rPr>
        <w:t xml:space="preserve"> Attorney General &amp; Department Of Justice, ‘Implementation Plan (2021-2025) </w:t>
      </w:r>
      <w:r>
        <w:rPr>
          <w:rFonts w:ascii="Times New Roman" w:eastAsia="Calibri" w:hAnsi="Times New Roman" w:cs="Times New Roman"/>
          <w:color w:val="000000" w:themeColor="text1"/>
        </w:rPr>
        <w:t xml:space="preserve">for the </w:t>
      </w:r>
      <w:r w:rsidRPr="007B6324">
        <w:rPr>
          <w:rFonts w:ascii="Times New Roman" w:eastAsia="Calibri" w:hAnsi="Times New Roman" w:cs="Times New Roman"/>
          <w:color w:val="000000" w:themeColor="text1"/>
        </w:rPr>
        <w:t xml:space="preserve">3rd Cycle Recommendations </w:t>
      </w:r>
      <w:r>
        <w:rPr>
          <w:rFonts w:ascii="Times New Roman" w:eastAsia="Calibri" w:hAnsi="Times New Roman" w:cs="Times New Roman"/>
          <w:color w:val="000000" w:themeColor="text1"/>
        </w:rPr>
        <w:t>u</w:t>
      </w:r>
      <w:r w:rsidRPr="007B6324">
        <w:rPr>
          <w:rFonts w:ascii="Times New Roman" w:eastAsia="Calibri" w:hAnsi="Times New Roman" w:cs="Times New Roman"/>
          <w:color w:val="000000" w:themeColor="text1"/>
        </w:rPr>
        <w:t xml:space="preserve">nder </w:t>
      </w:r>
      <w:r>
        <w:rPr>
          <w:rFonts w:ascii="Times New Roman" w:eastAsia="Calibri" w:hAnsi="Times New Roman" w:cs="Times New Roman"/>
          <w:color w:val="000000" w:themeColor="text1"/>
        </w:rPr>
        <w:t>t</w:t>
      </w:r>
      <w:r w:rsidRPr="007B6324">
        <w:rPr>
          <w:rFonts w:ascii="Times New Roman" w:eastAsia="Calibri" w:hAnsi="Times New Roman" w:cs="Times New Roman"/>
          <w:color w:val="000000" w:themeColor="text1"/>
        </w:rPr>
        <w:t>he Universal Periodic Review Process (U</w:t>
      </w:r>
      <w:r>
        <w:rPr>
          <w:rFonts w:ascii="Times New Roman" w:eastAsia="Calibri" w:hAnsi="Times New Roman" w:cs="Times New Roman"/>
          <w:color w:val="000000" w:themeColor="text1"/>
        </w:rPr>
        <w:t>PR</w:t>
      </w:r>
      <w:r w:rsidRPr="007B6324">
        <w:rPr>
          <w:rFonts w:ascii="Times New Roman" w:eastAsia="Calibri" w:hAnsi="Times New Roman" w:cs="Times New Roman"/>
          <w:color w:val="000000" w:themeColor="text1"/>
        </w:rPr>
        <w:t xml:space="preserve">)’ (November 2021) available at </w:t>
      </w:r>
      <w:hyperlink r:id="rId11" w:history="1">
        <w:r w:rsidRPr="007B6324">
          <w:rPr>
            <w:rStyle w:val="Hyperlink"/>
            <w:rFonts w:ascii="Times New Roman" w:eastAsia="Calibri" w:hAnsi="Times New Roman" w:cs="Times New Roman"/>
          </w:rPr>
          <w:t>https://statelaw.go.ke/wp-content/uploads/2022/04/3rd-Cycle-UPR-Implementation-Plan-2021-to-2025.pdf</w:t>
        </w:r>
      </w:hyperlink>
      <w:r w:rsidRPr="007B6324">
        <w:rPr>
          <w:rFonts w:ascii="Times New Roman" w:eastAsia="Calibri" w:hAnsi="Times New Roman" w:cs="Times New Roman"/>
          <w:color w:val="000000" w:themeColor="text1"/>
        </w:rPr>
        <w:t xml:space="preserve"> accessed 26 April 202</w:t>
      </w:r>
      <w:r>
        <w:rPr>
          <w:rFonts w:ascii="Times New Roman" w:eastAsia="Calibri" w:hAnsi="Times New Roman" w:cs="Times New Roman"/>
          <w:color w:val="000000" w:themeColor="text1"/>
        </w:rPr>
        <w:t>5</w:t>
      </w:r>
      <w:r w:rsidRPr="007B6324">
        <w:rPr>
          <w:rFonts w:ascii="Times New Roman" w:eastAsia="Calibri" w:hAnsi="Times New Roman" w:cs="Times New Roman"/>
          <w:color w:val="000000" w:themeColor="text1"/>
        </w:rPr>
        <w:t xml:space="preserve">.  </w:t>
      </w:r>
      <w:r w:rsidRPr="007B6324">
        <w:rPr>
          <w:rFonts w:ascii="Times New Roman" w:hAnsi="Times New Roman" w:cs="Times New Roman"/>
        </w:rPr>
        <w:t xml:space="preserve"> </w:t>
      </w:r>
    </w:p>
  </w:footnote>
  <w:footnote w:id="64">
    <w:p w14:paraId="22D20B0B" w14:textId="5FDB4F1E" w:rsidR="00D94BBF" w:rsidRDefault="00D94BBF" w:rsidP="00384885">
      <w:pPr>
        <w:pStyle w:val="FootnoteText"/>
        <w:jc w:val="both"/>
      </w:pPr>
      <w:r>
        <w:rPr>
          <w:rStyle w:val="FootnoteReference"/>
        </w:rPr>
        <w:footnoteRef/>
      </w:r>
      <w:r>
        <w:t xml:space="preserve"> </w:t>
      </w:r>
      <w:r w:rsidRPr="007B6324">
        <w:rPr>
          <w:rFonts w:ascii="Times New Roman" w:hAnsi="Times New Roman" w:cs="Times New Roman"/>
        </w:rPr>
        <w:t xml:space="preserve">Lawrence Moss, ‘Opportunities for Nongovernmental Organization Advocacy in the Universal Periodic Review Process at the UN Human Rights Council’ (2010) 2(1) </w:t>
      </w:r>
      <w:r w:rsidRPr="007B6324">
        <w:rPr>
          <w:rFonts w:ascii="Times New Roman" w:hAnsi="Times New Roman" w:cs="Times New Roman"/>
          <w:i/>
          <w:iCs/>
        </w:rPr>
        <w:t>Journal of Human Rights Practice</w:t>
      </w:r>
      <w:r w:rsidRPr="007B6324">
        <w:rPr>
          <w:rFonts w:ascii="Times New Roman" w:hAnsi="Times New Roman" w:cs="Times New Roman"/>
        </w:rPr>
        <w:t xml:space="preserve"> 122, </w:t>
      </w:r>
      <w:r w:rsidRPr="007B6324">
        <w:rPr>
          <w:rFonts w:ascii="Times New Roman" w:eastAsia="Calibri" w:hAnsi="Times New Roman" w:cs="Times New Roman"/>
          <w:color w:val="000000" w:themeColor="text1"/>
        </w:rPr>
        <w:t>122.</w:t>
      </w:r>
    </w:p>
  </w:footnote>
  <w:footnote w:id="65">
    <w:p w14:paraId="10F07D77" w14:textId="007732AF" w:rsidR="005538EB" w:rsidRDefault="005538EB" w:rsidP="00384885">
      <w:pPr>
        <w:pStyle w:val="FootnoteText"/>
        <w:jc w:val="both"/>
      </w:pPr>
      <w:r>
        <w:rPr>
          <w:rStyle w:val="FootnoteReference"/>
        </w:rPr>
        <w:footnoteRef/>
      </w:r>
      <w:r>
        <w:t xml:space="preserve"> </w:t>
      </w:r>
      <w:r w:rsidRPr="007B6324">
        <w:rPr>
          <w:rFonts w:ascii="Times New Roman" w:hAnsi="Times New Roman" w:cs="Times New Roman"/>
        </w:rPr>
        <w:t xml:space="preserve">Mie Roesdahl, ‘Universal Periodic Review and its Limited Change Potential: Tracking the Complexity of Multiple Actors and Approaches to Human Rights Change through the Lens of the UPR Process of Nepal’ (2017) 9(3) </w:t>
      </w:r>
      <w:r w:rsidRPr="007B6324">
        <w:rPr>
          <w:rFonts w:ascii="Times New Roman" w:hAnsi="Times New Roman" w:cs="Times New Roman"/>
          <w:i/>
          <w:iCs/>
        </w:rPr>
        <w:t>Journal of Human Rights Practice</w:t>
      </w:r>
      <w:r w:rsidRPr="007B6324">
        <w:rPr>
          <w:rFonts w:ascii="Times New Roman" w:hAnsi="Times New Roman" w:cs="Times New Roman"/>
        </w:rPr>
        <w:t xml:space="preserve"> 401, 411.</w:t>
      </w:r>
    </w:p>
  </w:footnote>
  <w:footnote w:id="66">
    <w:p w14:paraId="5CF43373" w14:textId="115057B9" w:rsidR="00A80D0A" w:rsidRDefault="00A80D0A" w:rsidP="00384885">
      <w:pPr>
        <w:pStyle w:val="FootnoteText"/>
        <w:jc w:val="both"/>
      </w:pPr>
      <w:r>
        <w:rPr>
          <w:rStyle w:val="FootnoteReference"/>
        </w:rPr>
        <w:footnoteRef/>
      </w:r>
      <w:r>
        <w:t xml:space="preserve"> </w:t>
      </w:r>
      <w:r w:rsidR="006E32CB" w:rsidRPr="00370A69">
        <w:rPr>
          <w:rFonts w:ascii="Times New Roman" w:hAnsi="Times New Roman" w:cs="Times New Roman"/>
        </w:rPr>
        <w:t>Storey and Oleschuk</w:t>
      </w:r>
      <w:r w:rsidR="006E32CB">
        <w:rPr>
          <w:rFonts w:ascii="Times New Roman" w:hAnsi="Times New Roman" w:cs="Times New Roman"/>
        </w:rPr>
        <w:t xml:space="preserve"> (above n 8</w:t>
      </w:r>
      <w:r w:rsidRPr="007B6324">
        <w:rPr>
          <w:rFonts w:ascii="Times New Roman" w:hAnsi="Times New Roman" w:cs="Times New Roman"/>
        </w:rPr>
        <w:t>)</w:t>
      </w:r>
      <w:r w:rsidR="00850212">
        <w:rPr>
          <w:rFonts w:ascii="Times New Roman" w:hAnsi="Times New Roman" w:cs="Times New Roman"/>
        </w:rPr>
        <w:t xml:space="preserve"> 31.</w:t>
      </w:r>
    </w:p>
  </w:footnote>
  <w:footnote w:id="67">
    <w:p w14:paraId="080D37E4" w14:textId="31E67E52" w:rsidR="00850212" w:rsidRDefault="00850212" w:rsidP="00384885">
      <w:pPr>
        <w:pStyle w:val="FootnoteText"/>
        <w:jc w:val="both"/>
      </w:pPr>
      <w:r>
        <w:rPr>
          <w:rStyle w:val="FootnoteReference"/>
        </w:rPr>
        <w:footnoteRef/>
      </w:r>
      <w:r>
        <w:t xml:space="preserve"> </w:t>
      </w:r>
      <w:r w:rsidR="009A4AF7">
        <w:t>ibid.</w:t>
      </w:r>
    </w:p>
  </w:footnote>
  <w:footnote w:id="68">
    <w:p w14:paraId="6ED674A8" w14:textId="2E3AB0BE" w:rsidR="009A4AF7" w:rsidRDefault="009A4AF7" w:rsidP="00384885">
      <w:pPr>
        <w:pStyle w:val="FootnoteText"/>
        <w:jc w:val="both"/>
      </w:pPr>
      <w:r>
        <w:rPr>
          <w:rStyle w:val="FootnoteReference"/>
        </w:rPr>
        <w:footnoteRef/>
      </w:r>
      <w:r>
        <w:t xml:space="preserve"> ibid.</w:t>
      </w:r>
    </w:p>
  </w:footnote>
  <w:footnote w:id="69">
    <w:p w14:paraId="11D0D1B3" w14:textId="3646ECDE" w:rsidR="000122C0" w:rsidRDefault="000122C0" w:rsidP="00384885">
      <w:pPr>
        <w:pStyle w:val="FootnoteText"/>
        <w:jc w:val="both"/>
      </w:pPr>
      <w:r>
        <w:rPr>
          <w:rStyle w:val="FootnoteReference"/>
        </w:rPr>
        <w:footnoteRef/>
      </w:r>
      <w:r>
        <w:t xml:space="preserve"> </w:t>
      </w:r>
      <w:r w:rsidRPr="007B6324">
        <w:rPr>
          <w:rFonts w:ascii="Times New Roman" w:hAnsi="Times New Roman" w:cs="Times New Roman"/>
        </w:rPr>
        <w:t>Moss</w:t>
      </w:r>
      <w:r w:rsidR="000718C7">
        <w:rPr>
          <w:rFonts w:ascii="Times New Roman" w:hAnsi="Times New Roman" w:cs="Times New Roman"/>
        </w:rPr>
        <w:t xml:space="preserve"> (n 63).</w:t>
      </w:r>
    </w:p>
  </w:footnote>
  <w:footnote w:id="70">
    <w:p w14:paraId="43BDF544" w14:textId="669BB34E" w:rsidR="000122C0" w:rsidRDefault="000122C0" w:rsidP="00384885">
      <w:pPr>
        <w:pStyle w:val="FootnoteText"/>
        <w:jc w:val="both"/>
      </w:pPr>
      <w:r>
        <w:rPr>
          <w:rStyle w:val="FootnoteReference"/>
        </w:rPr>
        <w:footnoteRef/>
      </w:r>
      <w:r>
        <w:t xml:space="preserve"> ibid.</w:t>
      </w:r>
    </w:p>
  </w:footnote>
  <w:footnote w:id="71">
    <w:p w14:paraId="1C282176" w14:textId="1CAA13C3" w:rsidR="005A76E2" w:rsidRDefault="005A76E2" w:rsidP="00384885">
      <w:pPr>
        <w:pStyle w:val="FootnoteText"/>
        <w:jc w:val="both"/>
      </w:pPr>
      <w:r>
        <w:rPr>
          <w:rStyle w:val="FootnoteReference"/>
        </w:rPr>
        <w:footnoteRef/>
      </w:r>
      <w:r>
        <w:t xml:space="preserve"> </w:t>
      </w:r>
      <w:r w:rsidR="00225CB4">
        <w:t>i</w:t>
      </w:r>
      <w:r>
        <w:t>bid</w:t>
      </w:r>
      <w:r w:rsidR="00225CB4">
        <w:t>, 135.</w:t>
      </w:r>
    </w:p>
  </w:footnote>
  <w:footnote w:id="72">
    <w:p w14:paraId="097A64E7" w14:textId="121DCCE3" w:rsidR="00946F81" w:rsidRPr="00946F81" w:rsidRDefault="00946F81" w:rsidP="00384885">
      <w:pPr>
        <w:pStyle w:val="FootnoteText"/>
        <w:jc w:val="both"/>
        <w:rPr>
          <w:rFonts w:ascii="Times New Roman" w:hAnsi="Times New Roman" w:cs="Times New Roman"/>
        </w:rPr>
      </w:pPr>
      <w:r>
        <w:rPr>
          <w:rStyle w:val="FootnoteReference"/>
        </w:rPr>
        <w:footnoteRef/>
      </w:r>
      <w:r>
        <w:t xml:space="preserve"> </w:t>
      </w:r>
      <w:r w:rsidRPr="007B6324">
        <w:rPr>
          <w:rFonts w:ascii="Times New Roman" w:hAnsi="Times New Roman" w:cs="Times New Roman"/>
        </w:rPr>
        <w:t xml:space="preserve">Sigfrido Burgos Cáceres, ‘NGOs, IGOs, and International Law: Gaining Credibility and Legitimacy through Lobbying and Results’ (2012) 13(1) </w:t>
      </w:r>
      <w:r w:rsidRPr="007B6324">
        <w:rPr>
          <w:rFonts w:ascii="Times New Roman" w:hAnsi="Times New Roman" w:cs="Times New Roman"/>
          <w:i/>
          <w:iCs/>
        </w:rPr>
        <w:t>Georgetown Journal of International Affairs</w:t>
      </w:r>
      <w:r w:rsidRPr="007B6324">
        <w:rPr>
          <w:rFonts w:ascii="Times New Roman" w:hAnsi="Times New Roman" w:cs="Times New Roman"/>
        </w:rPr>
        <w:t xml:space="preserve"> 79.</w:t>
      </w:r>
    </w:p>
  </w:footnote>
  <w:footnote w:id="73">
    <w:p w14:paraId="590AFDDF" w14:textId="49252225" w:rsidR="00093FD1" w:rsidRDefault="00093FD1" w:rsidP="00384885">
      <w:pPr>
        <w:pStyle w:val="FootnoteText"/>
        <w:jc w:val="both"/>
      </w:pPr>
      <w:r>
        <w:rPr>
          <w:rStyle w:val="FootnoteReference"/>
        </w:rPr>
        <w:footnoteRef/>
      </w:r>
      <w:r>
        <w:t xml:space="preserve"> </w:t>
      </w:r>
      <w:r w:rsidR="006E32CB" w:rsidRPr="00370A69">
        <w:rPr>
          <w:rFonts w:ascii="Times New Roman" w:hAnsi="Times New Roman" w:cs="Times New Roman"/>
        </w:rPr>
        <w:t>Storey and Oleschuk</w:t>
      </w:r>
      <w:r w:rsidR="006E32CB">
        <w:rPr>
          <w:rFonts w:ascii="Times New Roman" w:hAnsi="Times New Roman" w:cs="Times New Roman"/>
        </w:rPr>
        <w:t xml:space="preserve"> (above n 8) </w:t>
      </w:r>
      <w:r>
        <w:rPr>
          <w:rFonts w:ascii="Times New Roman" w:hAnsi="Times New Roman" w:cs="Times New Roman"/>
        </w:rPr>
        <w:t>50-56.</w:t>
      </w:r>
    </w:p>
  </w:footnote>
  <w:footnote w:id="74">
    <w:p w14:paraId="63AF8ACC" w14:textId="32FB8CCF" w:rsidR="00C24468" w:rsidRDefault="00C24468" w:rsidP="00384885">
      <w:pPr>
        <w:pStyle w:val="FootnoteText"/>
        <w:jc w:val="both"/>
      </w:pPr>
      <w:r>
        <w:rPr>
          <w:rStyle w:val="FootnoteReference"/>
        </w:rPr>
        <w:footnoteRef/>
      </w:r>
      <w:r>
        <w:t xml:space="preserve"> </w:t>
      </w:r>
      <w:r w:rsidRPr="007B6324">
        <w:rPr>
          <w:rFonts w:ascii="Times New Roman" w:hAnsi="Times New Roman" w:cs="Times New Roman"/>
        </w:rPr>
        <w:t xml:space="preserve">Francesca P Traglia, ‘Non-Confrontational Human Rights Advocacy: Experiences from the UPR Process in Myanmar’ in James Gomez and Robin Ramcharan (eds), </w:t>
      </w:r>
      <w:r w:rsidRPr="007B6324">
        <w:rPr>
          <w:rFonts w:ascii="Times New Roman" w:hAnsi="Times New Roman" w:cs="Times New Roman"/>
          <w:i/>
          <w:iCs/>
        </w:rPr>
        <w:t>The Universal Periodic Review of Southeast Asia: Civil Society Perspectives</w:t>
      </w:r>
      <w:r w:rsidRPr="007B6324">
        <w:rPr>
          <w:rFonts w:ascii="Times New Roman" w:hAnsi="Times New Roman" w:cs="Times New Roman"/>
        </w:rPr>
        <w:t xml:space="preserve"> (Palgrave Macmillan 2018) 194.</w:t>
      </w:r>
    </w:p>
  </w:footnote>
  <w:footnote w:id="75">
    <w:p w14:paraId="1FB47448" w14:textId="68298558" w:rsidR="0077688D" w:rsidRDefault="0077688D" w:rsidP="00384885">
      <w:pPr>
        <w:pStyle w:val="FootnoteText"/>
        <w:jc w:val="both"/>
      </w:pPr>
      <w:r>
        <w:rPr>
          <w:rStyle w:val="FootnoteReference"/>
        </w:rPr>
        <w:footnoteRef/>
      </w:r>
      <w:r>
        <w:t xml:space="preserve"> </w:t>
      </w:r>
      <w:proofErr w:type="spellStart"/>
      <w:r w:rsidRPr="007B6324">
        <w:rPr>
          <w:rFonts w:ascii="Times New Roman" w:hAnsi="Times New Roman" w:cs="Times New Roman"/>
        </w:rPr>
        <w:t>Etone</w:t>
      </w:r>
      <w:proofErr w:type="spellEnd"/>
      <w:r w:rsidR="00264D75">
        <w:rPr>
          <w:rFonts w:ascii="Times New Roman" w:hAnsi="Times New Roman" w:cs="Times New Roman"/>
        </w:rPr>
        <w:t xml:space="preserve"> (n 17)</w:t>
      </w:r>
      <w:r w:rsidRPr="007B6324">
        <w:rPr>
          <w:rFonts w:ascii="Times New Roman" w:hAnsi="Times New Roman" w:cs="Times New Roman"/>
        </w:rPr>
        <w:t xml:space="preserve"> 103.</w:t>
      </w:r>
    </w:p>
  </w:footnote>
  <w:footnote w:id="76">
    <w:p w14:paraId="7FBABC47" w14:textId="6CA75734" w:rsidR="00911BD0" w:rsidRPr="007D07CD" w:rsidRDefault="00911BD0" w:rsidP="00384885">
      <w:pPr>
        <w:pStyle w:val="FootnoteText"/>
        <w:jc w:val="both"/>
        <w:rPr>
          <w:rFonts w:ascii="Times New Roman" w:hAnsi="Times New Roman" w:cs="Times New Roman"/>
        </w:rPr>
      </w:pPr>
      <w:r>
        <w:rPr>
          <w:rStyle w:val="FootnoteReference"/>
        </w:rPr>
        <w:footnoteRef/>
      </w:r>
      <w:r>
        <w:t xml:space="preserve"> </w:t>
      </w:r>
      <w:r w:rsidRPr="007B6324">
        <w:rPr>
          <w:rFonts w:ascii="Times New Roman" w:hAnsi="Times New Roman" w:cs="Times New Roman"/>
        </w:rPr>
        <w:t xml:space="preserve">Marja </w:t>
      </w:r>
      <w:proofErr w:type="spellStart"/>
      <w:r w:rsidRPr="007B6324">
        <w:rPr>
          <w:rFonts w:ascii="Times New Roman" w:hAnsi="Times New Roman" w:cs="Times New Roman"/>
        </w:rPr>
        <w:t>Hinfelaar</w:t>
      </w:r>
      <w:proofErr w:type="spellEnd"/>
      <w:r w:rsidRPr="007B6324">
        <w:rPr>
          <w:rFonts w:ascii="Times New Roman" w:hAnsi="Times New Roman" w:cs="Times New Roman"/>
        </w:rPr>
        <w:t xml:space="preserve"> and O'Brien Kaaba, ‘Adjust, Resist, or Disband: How Does Civil Society Respond to Repression in Zambia?’ (2019) PRIO Paper (Oslo: PRIO)</w:t>
      </w:r>
      <w:r>
        <w:rPr>
          <w:rFonts w:ascii="Times New Roman" w:hAnsi="Times New Roman" w:cs="Times New Roman"/>
        </w:rPr>
        <w:t xml:space="preserve"> 1-4</w:t>
      </w:r>
      <w:r w:rsidRPr="007B6324">
        <w:rPr>
          <w:rFonts w:ascii="Times New Roman" w:hAnsi="Times New Roman" w:cs="Times New Roman"/>
        </w:rPr>
        <w:t>.</w:t>
      </w:r>
    </w:p>
  </w:footnote>
  <w:footnote w:id="77">
    <w:p w14:paraId="4F885811" w14:textId="785B5379" w:rsidR="007D07CD" w:rsidRPr="007D07CD" w:rsidRDefault="007D07CD" w:rsidP="00384885">
      <w:pPr>
        <w:pStyle w:val="FootnoteText"/>
        <w:jc w:val="both"/>
        <w:rPr>
          <w:rFonts w:ascii="Times New Roman" w:hAnsi="Times New Roman" w:cs="Times New Roman"/>
        </w:rPr>
      </w:pPr>
      <w:r>
        <w:rPr>
          <w:rStyle w:val="FootnoteReference"/>
        </w:rPr>
        <w:footnoteRef/>
      </w:r>
      <w:r>
        <w:t xml:space="preserve"> </w:t>
      </w:r>
      <w:r w:rsidRPr="007B6324">
        <w:rPr>
          <w:rFonts w:ascii="Times New Roman" w:hAnsi="Times New Roman" w:cs="Times New Roman"/>
        </w:rPr>
        <w:t>See UN Human Rights Council, ‘Report of the Secretary General: Cooperation with the United Nations, its representatives and mechanisms in the field of human rights’ (20 August 2024) UN Doc A/HRC/57/60, para</w:t>
      </w:r>
      <w:r>
        <w:rPr>
          <w:rFonts w:ascii="Times New Roman" w:hAnsi="Times New Roman" w:cs="Times New Roman"/>
        </w:rPr>
        <w:t>s</w:t>
      </w:r>
      <w:r w:rsidRPr="007B6324">
        <w:rPr>
          <w:rFonts w:ascii="Times New Roman" w:hAnsi="Times New Roman" w:cs="Times New Roman"/>
        </w:rPr>
        <w:t xml:space="preserve"> 40-111.</w:t>
      </w:r>
    </w:p>
  </w:footnote>
  <w:footnote w:id="78">
    <w:p w14:paraId="157E3657" w14:textId="58CB5E6D" w:rsidR="00AB03C2" w:rsidRPr="00AB03C2" w:rsidRDefault="00AB03C2" w:rsidP="00384885">
      <w:pPr>
        <w:pStyle w:val="FootnoteText"/>
        <w:jc w:val="both"/>
        <w:rPr>
          <w:rFonts w:ascii="Times New Roman" w:hAnsi="Times New Roman" w:cs="Times New Roman"/>
        </w:rPr>
      </w:pPr>
      <w:r>
        <w:rPr>
          <w:rStyle w:val="FootnoteReference"/>
        </w:rPr>
        <w:footnoteRef/>
      </w:r>
      <w:r>
        <w:t xml:space="preserve"> </w:t>
      </w:r>
      <w:r w:rsidRPr="007B6324">
        <w:rPr>
          <w:rFonts w:ascii="Times New Roman" w:hAnsi="Times New Roman" w:cs="Times New Roman"/>
        </w:rPr>
        <w:t xml:space="preserve">Nicola Edwards, ‘Challenging Impunity in Indonesia and the Philippines through the Universal Periodic Review Mechanism’ (2020) 26(2) </w:t>
      </w:r>
      <w:r w:rsidRPr="007B6324">
        <w:rPr>
          <w:rFonts w:ascii="Times New Roman" w:hAnsi="Times New Roman" w:cs="Times New Roman"/>
          <w:i/>
          <w:iCs/>
        </w:rPr>
        <w:t>Australian Journal of Human Rights</w:t>
      </w:r>
      <w:r w:rsidRPr="007B6324">
        <w:rPr>
          <w:rFonts w:ascii="Times New Roman" w:hAnsi="Times New Roman" w:cs="Times New Roman"/>
        </w:rPr>
        <w:t xml:space="preserve"> 274, 284.</w:t>
      </w:r>
    </w:p>
  </w:footnote>
  <w:footnote w:id="79">
    <w:p w14:paraId="671534F1" w14:textId="41E700A1" w:rsidR="00582FFF" w:rsidRPr="00582FFF" w:rsidRDefault="00582FFF" w:rsidP="00384885">
      <w:pPr>
        <w:pStyle w:val="FootnoteText"/>
        <w:jc w:val="both"/>
        <w:rPr>
          <w:rFonts w:ascii="Times New Roman" w:hAnsi="Times New Roman" w:cs="Times New Roman"/>
        </w:rPr>
      </w:pPr>
      <w:r>
        <w:rPr>
          <w:rStyle w:val="FootnoteReference"/>
        </w:rPr>
        <w:footnoteRef/>
      </w:r>
      <w:r>
        <w:t xml:space="preserve"> </w:t>
      </w:r>
      <w:r w:rsidRPr="007B6324">
        <w:rPr>
          <w:rFonts w:ascii="Times New Roman" w:hAnsi="Times New Roman" w:cs="Times New Roman"/>
        </w:rPr>
        <w:t>These dynamics are addressed by various scholars -  See Rochelle Terman and Joshua Byun, ‘Punishment and Politicization in the International Human Rights Regime’ (2022) 2 </w:t>
      </w:r>
      <w:r w:rsidRPr="007B6324">
        <w:rPr>
          <w:rFonts w:ascii="Times New Roman" w:hAnsi="Times New Roman" w:cs="Times New Roman"/>
          <w:i/>
          <w:iCs/>
        </w:rPr>
        <w:t>American Political Science Review</w:t>
      </w:r>
      <w:r w:rsidRPr="007B6324">
        <w:rPr>
          <w:rFonts w:ascii="Times New Roman" w:hAnsi="Times New Roman" w:cs="Times New Roman"/>
        </w:rPr>
        <w:t> 116, 385–402; Jane K Cowan, and Julie Billaud, ‘Between Learning and Schooling: The Politics of Human Rights Monitoring at the Universal Periodic Review’ (2015) 36 (6) </w:t>
      </w:r>
      <w:r w:rsidRPr="007B6324">
        <w:rPr>
          <w:rFonts w:ascii="Times New Roman" w:hAnsi="Times New Roman" w:cs="Times New Roman"/>
          <w:i/>
          <w:iCs/>
        </w:rPr>
        <w:t>Third World Quarterly</w:t>
      </w:r>
      <w:r w:rsidRPr="007B6324">
        <w:rPr>
          <w:rFonts w:ascii="Times New Roman" w:hAnsi="Times New Roman" w:cs="Times New Roman"/>
        </w:rPr>
        <w:t>, 1175–90; Su Hyen Bae, ‘Power, Politicization, and Network Positions: Explaining State Participation in the UPR’ (2018) The Korean Journal of International Studies 16-, 335-365.</w:t>
      </w:r>
    </w:p>
  </w:footnote>
  <w:footnote w:id="80">
    <w:p w14:paraId="163E3F04" w14:textId="363DA2F1" w:rsidR="00776665" w:rsidRPr="00370A69" w:rsidRDefault="00776665"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These NGO </w:t>
      </w:r>
      <w:r w:rsidR="002C4795" w:rsidRPr="00370A69">
        <w:rPr>
          <w:rFonts w:ascii="Times New Roman" w:hAnsi="Times New Roman" w:cs="Times New Roman"/>
        </w:rPr>
        <w:t>reports a</w:t>
      </w:r>
      <w:r w:rsidR="009E353D" w:rsidRPr="00370A69">
        <w:rPr>
          <w:rFonts w:ascii="Times New Roman" w:hAnsi="Times New Roman" w:cs="Times New Roman"/>
        </w:rPr>
        <w:t>re the full reports submitted by NGOs and not the summary compilation prepared by the OHCHR</w:t>
      </w:r>
      <w:r w:rsidR="002C25A6" w:rsidRPr="00370A69">
        <w:rPr>
          <w:rFonts w:ascii="Times New Roman" w:hAnsi="Times New Roman" w:cs="Times New Roman"/>
        </w:rPr>
        <w:t xml:space="preserve"> which risk filtering out key recommendations made by NGOs.</w:t>
      </w:r>
      <w:r w:rsidR="00E07A09" w:rsidRPr="00370A69">
        <w:rPr>
          <w:rFonts w:ascii="Times New Roman" w:hAnsi="Times New Roman" w:cs="Times New Roman"/>
        </w:rPr>
        <w:t xml:space="preserve"> These NGO reports are available </w:t>
      </w:r>
      <w:r w:rsidR="009D1794" w:rsidRPr="00370A69">
        <w:rPr>
          <w:rFonts w:ascii="Times New Roman" w:hAnsi="Times New Roman" w:cs="Times New Roman"/>
        </w:rPr>
        <w:t xml:space="preserve">on the </w:t>
      </w:r>
      <w:r w:rsidR="0088502B" w:rsidRPr="00370A69">
        <w:rPr>
          <w:rFonts w:ascii="Times New Roman" w:hAnsi="Times New Roman" w:cs="Times New Roman"/>
        </w:rPr>
        <w:t xml:space="preserve">OHCHR website. See for example </w:t>
      </w:r>
      <w:hyperlink r:id="rId12" w:history="1">
        <w:r w:rsidR="0088502B" w:rsidRPr="00370A69">
          <w:rPr>
            <w:rStyle w:val="Hyperlink"/>
            <w:rFonts w:ascii="Times New Roman" w:hAnsi="Times New Roman" w:cs="Times New Roman"/>
          </w:rPr>
          <w:t>https://www.ohchr.org/en/hr-bodies/upr/uprke-stakeholders-info-s35</w:t>
        </w:r>
      </w:hyperlink>
      <w:r w:rsidR="0088502B" w:rsidRPr="00370A69">
        <w:rPr>
          <w:rFonts w:ascii="Times New Roman" w:hAnsi="Times New Roman" w:cs="Times New Roman"/>
        </w:rPr>
        <w:t xml:space="preserve"> </w:t>
      </w:r>
    </w:p>
  </w:footnote>
  <w:footnote w:id="81">
    <w:p w14:paraId="07F4FA98" w14:textId="50927454" w:rsidR="00597FA8" w:rsidRPr="00370A69" w:rsidRDefault="00597FA8"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2E45F9" w:rsidRPr="00370A69">
        <w:rPr>
          <w:rFonts w:ascii="Times New Roman" w:hAnsi="Times New Roman" w:cs="Times New Roman"/>
        </w:rPr>
        <w:t xml:space="preserve">For </w:t>
      </w:r>
      <w:r w:rsidR="00D07035" w:rsidRPr="00370A69">
        <w:rPr>
          <w:rFonts w:ascii="Times New Roman" w:hAnsi="Times New Roman" w:cs="Times New Roman"/>
        </w:rPr>
        <w:t>example,</w:t>
      </w:r>
      <w:r w:rsidR="002E45F9" w:rsidRPr="00370A69">
        <w:rPr>
          <w:rFonts w:ascii="Times New Roman" w:hAnsi="Times New Roman" w:cs="Times New Roman"/>
        </w:rPr>
        <w:t xml:space="preserve"> </w:t>
      </w:r>
      <w:r w:rsidR="009B3F49" w:rsidRPr="00370A69">
        <w:rPr>
          <w:rFonts w:ascii="Times New Roman" w:hAnsi="Times New Roman" w:cs="Times New Roman"/>
        </w:rPr>
        <w:t>Co</w:t>
      </w:r>
      <w:r w:rsidR="008C1BA9" w:rsidRPr="00370A69">
        <w:rPr>
          <w:rFonts w:ascii="Times New Roman" w:hAnsi="Times New Roman" w:cs="Times New Roman"/>
        </w:rPr>
        <w:t xml:space="preserve">te d’Ivoire recommended to Zambia during cycle 3 </w:t>
      </w:r>
      <w:r w:rsidR="00270F15" w:rsidRPr="00370A69">
        <w:rPr>
          <w:rFonts w:ascii="Times New Roman" w:hAnsi="Times New Roman" w:cs="Times New Roman"/>
        </w:rPr>
        <w:t>to ‘Seek the necessary technical, material and financial assistance in order to implement the recommendations it has endorsed’ UN Human Rights Council</w:t>
      </w:r>
      <w:r w:rsidR="00C52022" w:rsidRPr="00370A69">
        <w:rPr>
          <w:rFonts w:ascii="Times New Roman" w:hAnsi="Times New Roman" w:cs="Times New Roman"/>
        </w:rPr>
        <w:t xml:space="preserve"> </w:t>
      </w:r>
      <w:r w:rsidR="002628DB" w:rsidRPr="00370A69">
        <w:rPr>
          <w:rFonts w:ascii="Times New Roman" w:hAnsi="Times New Roman" w:cs="Times New Roman"/>
        </w:rPr>
        <w:t>2018</w:t>
      </w:r>
      <w:r w:rsidR="000969B1" w:rsidRPr="00370A69">
        <w:rPr>
          <w:rFonts w:ascii="Times New Roman" w:hAnsi="Times New Roman" w:cs="Times New Roman"/>
        </w:rPr>
        <w:t xml:space="preserve"> </w:t>
      </w:r>
      <w:r w:rsidR="002628DB" w:rsidRPr="00370A69">
        <w:rPr>
          <w:rFonts w:ascii="Times New Roman" w:hAnsi="Times New Roman" w:cs="Times New Roman"/>
        </w:rPr>
        <w:t>para 131.109.</w:t>
      </w:r>
    </w:p>
  </w:footnote>
  <w:footnote w:id="82">
    <w:p w14:paraId="0FDDC959" w14:textId="39FD132E" w:rsidR="008E2541" w:rsidRPr="00370A69" w:rsidRDefault="008E2541"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802C61" w:rsidRPr="00370A69">
        <w:rPr>
          <w:rFonts w:ascii="Times New Roman" w:hAnsi="Times New Roman" w:cs="Times New Roman"/>
        </w:rPr>
        <w:t>Kyrgyzstan recommended during cy</w:t>
      </w:r>
      <w:r w:rsidR="00D07035" w:rsidRPr="00370A69">
        <w:rPr>
          <w:rFonts w:ascii="Times New Roman" w:hAnsi="Times New Roman" w:cs="Times New Roman"/>
        </w:rPr>
        <w:t>cle 3 for Kenya to ‘[f]</w:t>
      </w:r>
      <w:proofErr w:type="spellStart"/>
      <w:r w:rsidR="00D07035" w:rsidRPr="00370A69">
        <w:rPr>
          <w:rFonts w:ascii="Times New Roman" w:hAnsi="Times New Roman" w:cs="Times New Roman"/>
        </w:rPr>
        <w:t>urther</w:t>
      </w:r>
      <w:proofErr w:type="spellEnd"/>
      <w:r w:rsidR="00D07035" w:rsidRPr="00370A69">
        <w:rPr>
          <w:rFonts w:ascii="Times New Roman" w:hAnsi="Times New Roman" w:cs="Times New Roman"/>
        </w:rPr>
        <w:t xml:space="preserve"> continue its political reforms in order to promote political democracy in the country’. See </w:t>
      </w:r>
      <w:r w:rsidR="00904F65" w:rsidRPr="00370A69">
        <w:rPr>
          <w:rFonts w:ascii="Times New Roman" w:hAnsi="Times New Roman" w:cs="Times New Roman"/>
        </w:rPr>
        <w:t>UN Human Rights Council</w:t>
      </w:r>
      <w:r w:rsidR="005D45BA" w:rsidRPr="00370A69">
        <w:rPr>
          <w:rFonts w:ascii="Times New Roman" w:hAnsi="Times New Roman" w:cs="Times New Roman"/>
        </w:rPr>
        <w:t xml:space="preserve"> </w:t>
      </w:r>
      <w:r w:rsidR="00C52022" w:rsidRPr="00370A69">
        <w:rPr>
          <w:rFonts w:ascii="Times New Roman" w:hAnsi="Times New Roman" w:cs="Times New Roman"/>
        </w:rPr>
        <w:t>2</w:t>
      </w:r>
      <w:r w:rsidR="00904F65" w:rsidRPr="00370A69">
        <w:rPr>
          <w:rFonts w:ascii="Times New Roman" w:hAnsi="Times New Roman" w:cs="Times New Roman"/>
        </w:rPr>
        <w:t>020</w:t>
      </w:r>
      <w:r w:rsidR="005D45BA" w:rsidRPr="00370A69">
        <w:rPr>
          <w:rFonts w:ascii="Times New Roman" w:hAnsi="Times New Roman" w:cs="Times New Roman"/>
        </w:rPr>
        <w:t>:</w:t>
      </w:r>
      <w:r w:rsidR="00904F65" w:rsidRPr="00370A69">
        <w:rPr>
          <w:rFonts w:ascii="Times New Roman" w:hAnsi="Times New Roman" w:cs="Times New Roman"/>
        </w:rPr>
        <w:t xml:space="preserve"> para 142.25.</w:t>
      </w:r>
    </w:p>
  </w:footnote>
  <w:footnote w:id="83">
    <w:p w14:paraId="17A98513" w14:textId="272406C7" w:rsidR="008E2541" w:rsidRPr="00370A69" w:rsidRDefault="008E2541"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8E0591" w:rsidRPr="00370A69">
        <w:rPr>
          <w:rFonts w:ascii="Times New Roman" w:hAnsi="Times New Roman" w:cs="Times New Roman"/>
        </w:rPr>
        <w:t xml:space="preserve">For </w:t>
      </w:r>
      <w:r w:rsidR="0031587D" w:rsidRPr="00370A69">
        <w:rPr>
          <w:rFonts w:ascii="Times New Roman" w:hAnsi="Times New Roman" w:cs="Times New Roman"/>
        </w:rPr>
        <w:t>example,</w:t>
      </w:r>
      <w:r w:rsidR="008E0591" w:rsidRPr="00370A69">
        <w:rPr>
          <w:rFonts w:ascii="Times New Roman" w:hAnsi="Times New Roman" w:cs="Times New Roman"/>
        </w:rPr>
        <w:t xml:space="preserve"> Pakistan recommended </w:t>
      </w:r>
      <w:r w:rsidR="006E105F" w:rsidRPr="00370A69">
        <w:rPr>
          <w:rFonts w:ascii="Times New Roman" w:hAnsi="Times New Roman" w:cs="Times New Roman"/>
        </w:rPr>
        <w:t>Kenya ‘[c]</w:t>
      </w:r>
      <w:proofErr w:type="spellStart"/>
      <w:r w:rsidR="006E105F" w:rsidRPr="00370A69">
        <w:rPr>
          <w:rFonts w:ascii="Times New Roman" w:hAnsi="Times New Roman" w:cs="Times New Roman"/>
        </w:rPr>
        <w:t>onsider</w:t>
      </w:r>
      <w:proofErr w:type="spellEnd"/>
      <w:r w:rsidR="006E105F" w:rsidRPr="00370A69">
        <w:rPr>
          <w:rFonts w:ascii="Times New Roman" w:hAnsi="Times New Roman" w:cs="Times New Roman"/>
        </w:rPr>
        <w:t xml:space="preserve"> adopting a new national action plan on human rights’. See </w:t>
      </w:r>
      <w:r w:rsidR="00181649" w:rsidRPr="00370A69">
        <w:rPr>
          <w:rFonts w:ascii="Times New Roman" w:hAnsi="Times New Roman" w:cs="Times New Roman"/>
        </w:rPr>
        <w:t xml:space="preserve">UN </w:t>
      </w:r>
      <w:r w:rsidR="00055342" w:rsidRPr="00370A69">
        <w:rPr>
          <w:rFonts w:ascii="Times New Roman" w:hAnsi="Times New Roman" w:cs="Times New Roman"/>
        </w:rPr>
        <w:t>Human Rights Council</w:t>
      </w:r>
      <w:r w:rsidR="00C52022" w:rsidRPr="00370A69">
        <w:rPr>
          <w:rFonts w:ascii="Times New Roman" w:hAnsi="Times New Roman" w:cs="Times New Roman"/>
        </w:rPr>
        <w:t xml:space="preserve"> 2020</w:t>
      </w:r>
      <w:r w:rsidR="0031587D" w:rsidRPr="00370A69">
        <w:rPr>
          <w:rFonts w:ascii="Times New Roman" w:hAnsi="Times New Roman" w:cs="Times New Roman"/>
        </w:rPr>
        <w:t xml:space="preserve"> para 142.43.</w:t>
      </w:r>
    </w:p>
  </w:footnote>
  <w:footnote w:id="84">
    <w:p w14:paraId="38B2CE57" w14:textId="2AA0A561" w:rsidR="00CC47FB" w:rsidRPr="00370A69" w:rsidRDefault="00CC47FB"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Pr="00370A69">
        <w:rPr>
          <w:rFonts w:ascii="Times New Roman" w:hAnsi="Times New Roman" w:cs="Times New Roman"/>
        </w:rPr>
        <w:t xml:space="preserve"> </w:t>
      </w:r>
      <w:r w:rsidR="001D35E5" w:rsidRPr="00370A69">
        <w:rPr>
          <w:rFonts w:ascii="Times New Roman" w:hAnsi="Times New Roman" w:cs="Times New Roman"/>
        </w:rPr>
        <w:t>Lesotho recommended Kenya ‘[b]</w:t>
      </w:r>
      <w:proofErr w:type="spellStart"/>
      <w:r w:rsidR="00800856" w:rsidRPr="00370A69">
        <w:rPr>
          <w:rFonts w:ascii="Times New Roman" w:hAnsi="Times New Roman" w:cs="Times New Roman"/>
        </w:rPr>
        <w:t>eef</w:t>
      </w:r>
      <w:proofErr w:type="spellEnd"/>
      <w:r w:rsidR="00800856" w:rsidRPr="00370A69">
        <w:rPr>
          <w:rFonts w:ascii="Times New Roman" w:hAnsi="Times New Roman" w:cs="Times New Roman"/>
        </w:rPr>
        <w:t xml:space="preserve"> up measures to ensure that the recurring terrorist attacks taking place in the country are halted</w:t>
      </w:r>
      <w:r w:rsidR="002A20AB" w:rsidRPr="00370A69">
        <w:rPr>
          <w:rFonts w:ascii="Times New Roman" w:hAnsi="Times New Roman" w:cs="Times New Roman"/>
        </w:rPr>
        <w:t>’. See ibid, para 142.78.</w:t>
      </w:r>
    </w:p>
  </w:footnote>
  <w:footnote w:id="85">
    <w:p w14:paraId="23FE5EFF" w14:textId="1863C4B9" w:rsidR="008E2541" w:rsidRPr="00370A69" w:rsidRDefault="008E2541" w:rsidP="00384885">
      <w:pPr>
        <w:pStyle w:val="FootnoteText"/>
        <w:jc w:val="both"/>
        <w:rPr>
          <w:rFonts w:ascii="Times New Roman" w:hAnsi="Times New Roman" w:cs="Times New Roman"/>
        </w:rPr>
      </w:pPr>
      <w:r w:rsidRPr="00370A69">
        <w:rPr>
          <w:rStyle w:val="FootnoteReference"/>
          <w:rFonts w:ascii="Times New Roman" w:hAnsi="Times New Roman" w:cs="Times New Roman"/>
        </w:rPr>
        <w:footnoteRef/>
      </w:r>
      <w:r w:rsidR="0023597D" w:rsidRPr="00370A69">
        <w:rPr>
          <w:rFonts w:ascii="Times New Roman" w:hAnsi="Times New Roman" w:cs="Times New Roman"/>
        </w:rPr>
        <w:t xml:space="preserve"> </w:t>
      </w:r>
      <w:r w:rsidR="007B0280">
        <w:rPr>
          <w:rFonts w:ascii="Times New Roman" w:hAnsi="Times New Roman" w:cs="Times New Roman"/>
        </w:rPr>
        <w:t>See</w:t>
      </w:r>
      <w:r w:rsidR="0023597D" w:rsidRPr="00370A69">
        <w:rPr>
          <w:rFonts w:ascii="Times New Roman" w:hAnsi="Times New Roman" w:cs="Times New Roman"/>
        </w:rPr>
        <w:t xml:space="preserve"> the recommendation</w:t>
      </w:r>
      <w:r w:rsidR="003A504B" w:rsidRPr="00370A69">
        <w:rPr>
          <w:rFonts w:ascii="Times New Roman" w:hAnsi="Times New Roman" w:cs="Times New Roman"/>
        </w:rPr>
        <w:t xml:space="preserve"> Zambia made </w:t>
      </w:r>
      <w:r w:rsidR="00E638A8" w:rsidRPr="00370A69">
        <w:rPr>
          <w:rFonts w:ascii="Times New Roman" w:hAnsi="Times New Roman" w:cs="Times New Roman"/>
        </w:rPr>
        <w:t>for Kenya to ‘[a]</w:t>
      </w:r>
      <w:proofErr w:type="spellStart"/>
      <w:r w:rsidR="00E638A8" w:rsidRPr="00370A69">
        <w:rPr>
          <w:rFonts w:ascii="Times New Roman" w:hAnsi="Times New Roman" w:cs="Times New Roman"/>
        </w:rPr>
        <w:t>dopt</w:t>
      </w:r>
      <w:proofErr w:type="spellEnd"/>
      <w:r w:rsidR="00E638A8" w:rsidRPr="00370A69">
        <w:rPr>
          <w:rFonts w:ascii="Times New Roman" w:hAnsi="Times New Roman" w:cs="Times New Roman"/>
        </w:rPr>
        <w:t xml:space="preserve"> and implement the National Action Plan on Business and Human Rights’. See </w:t>
      </w:r>
      <w:r w:rsidR="007B6324" w:rsidRPr="00370A69">
        <w:rPr>
          <w:rFonts w:ascii="Times New Roman" w:hAnsi="Times New Roman" w:cs="Times New Roman"/>
        </w:rPr>
        <w:t xml:space="preserve">ibid, 142.73. </w:t>
      </w:r>
    </w:p>
  </w:footnote>
  <w:footnote w:id="86">
    <w:p w14:paraId="38C36364" w14:textId="2141F9DC" w:rsidR="00541764" w:rsidRDefault="00541764" w:rsidP="00384885">
      <w:pPr>
        <w:pStyle w:val="FootnoteText"/>
        <w:jc w:val="both"/>
      </w:pPr>
      <w:r>
        <w:rPr>
          <w:rStyle w:val="FootnoteReference"/>
        </w:rPr>
        <w:footnoteRef/>
      </w:r>
      <w:r>
        <w:t xml:space="preserve"> </w:t>
      </w:r>
      <w:r w:rsidRPr="007B6324">
        <w:rPr>
          <w:rFonts w:ascii="Times New Roman" w:hAnsi="Times New Roman" w:cs="Times New Roman"/>
        </w:rPr>
        <w:t>See UPR Info</w:t>
      </w:r>
      <w:r w:rsidR="001C5712">
        <w:rPr>
          <w:rFonts w:ascii="Times New Roman" w:hAnsi="Times New Roman" w:cs="Times New Roman"/>
        </w:rPr>
        <w:t xml:space="preserve"> (n 16).</w:t>
      </w:r>
    </w:p>
  </w:footnote>
  <w:footnote w:id="87">
    <w:p w14:paraId="2714D53A" w14:textId="18844A7E" w:rsidR="00733FEE" w:rsidRDefault="00733FEE" w:rsidP="00384885">
      <w:pPr>
        <w:pStyle w:val="FootnoteText"/>
        <w:jc w:val="both"/>
      </w:pPr>
      <w:r>
        <w:rPr>
          <w:rStyle w:val="FootnoteReference"/>
        </w:rPr>
        <w:footnoteRef/>
      </w:r>
      <w:r>
        <w:t xml:space="preserve"> </w:t>
      </w:r>
      <w:r w:rsidRPr="007B6324">
        <w:rPr>
          <w:rFonts w:ascii="Times New Roman" w:hAnsi="Times New Roman" w:cs="Times New Roman"/>
        </w:rPr>
        <w:t xml:space="preserve">See OHCHR, ’ Universal Periodic Review (Third Cycle): Information and guidelines for relevant stakeholders’ written submissions’ para 7 (c) available at </w:t>
      </w:r>
      <w:hyperlink r:id="rId13" w:history="1">
        <w:r w:rsidR="00384885" w:rsidRPr="002561E8">
          <w:rPr>
            <w:rStyle w:val="Hyperlink"/>
            <w:rFonts w:ascii="Times New Roman" w:hAnsi="Times New Roman" w:cs="Times New Roman"/>
          </w:rPr>
          <w:t>https://bit.ly/3ZBUHda</w:t>
        </w:r>
      </w:hyperlink>
      <w:r w:rsidR="00384885">
        <w:t xml:space="preserve">; </w:t>
      </w:r>
      <w:r w:rsidR="00384885" w:rsidRPr="007B6324">
        <w:rPr>
          <w:rFonts w:ascii="Times New Roman" w:hAnsi="Times New Roman" w:cs="Times New Roman"/>
        </w:rPr>
        <w:t xml:space="preserve">UNESCO, ‘The Universal Periodic Review (UPR) and its potential to foster freedom of expression, access to information and safety of journalists: factsheet on smart recommendations for civil society organizations’ (2022) available at </w:t>
      </w:r>
      <w:r w:rsidR="00384885" w:rsidRPr="007B6324">
        <w:rPr>
          <w:rStyle w:val="Hyperlink"/>
          <w:rFonts w:ascii="Times New Roman" w:hAnsi="Times New Roman" w:cs="Times New Roman"/>
          <w:color w:val="auto"/>
        </w:rPr>
        <w:t xml:space="preserve"> </w:t>
      </w:r>
      <w:r w:rsidR="00384885" w:rsidRPr="007B6324">
        <w:rPr>
          <w:rStyle w:val="Hyperlink"/>
          <w:rFonts w:ascii="Times New Roman" w:hAnsi="Times New Roman" w:cs="Times New Roman"/>
        </w:rPr>
        <w:t>https://unesdoc.unesco.org/ark:/48223/pf0000382048</w:t>
      </w:r>
    </w:p>
  </w:footnote>
  <w:footnote w:id="88">
    <w:p w14:paraId="15DA8B5B" w14:textId="087CAED5" w:rsidR="00C1444F" w:rsidRDefault="00C1444F">
      <w:pPr>
        <w:pStyle w:val="FootnoteText"/>
      </w:pPr>
      <w:r>
        <w:rPr>
          <w:rStyle w:val="FootnoteReference"/>
        </w:rPr>
        <w:footnoteRef/>
      </w:r>
      <w:r>
        <w:t xml:space="preserve"> </w:t>
      </w:r>
      <w:r w:rsidRPr="007B6324">
        <w:rPr>
          <w:rFonts w:ascii="Times New Roman" w:hAnsi="Times New Roman" w:cs="Times New Roman"/>
        </w:rPr>
        <w:t xml:space="preserve">See UNESCO </w:t>
      </w:r>
      <w:r w:rsidR="00DC5B0F">
        <w:rPr>
          <w:rFonts w:ascii="Times New Roman" w:hAnsi="Times New Roman" w:cs="Times New Roman"/>
        </w:rPr>
        <w:t>(</w:t>
      </w:r>
      <w:r w:rsidRPr="007B6324">
        <w:rPr>
          <w:rFonts w:ascii="Times New Roman" w:hAnsi="Times New Roman" w:cs="Times New Roman"/>
        </w:rPr>
        <w:t>n 8</w:t>
      </w:r>
      <w:r w:rsidR="003A6727">
        <w:rPr>
          <w:rFonts w:ascii="Times New Roman" w:hAnsi="Times New Roman" w:cs="Times New Roman"/>
        </w:rPr>
        <w:t>6</w:t>
      </w:r>
      <w:r w:rsidR="00DC5B0F">
        <w:rPr>
          <w:rFonts w:ascii="Times New Roman" w:hAnsi="Times New Roman" w:cs="Times New Roman"/>
        </w:rPr>
        <w:t>)</w:t>
      </w:r>
      <w:r w:rsidRPr="007B6324">
        <w:rPr>
          <w:rFonts w:ascii="Times New Roman" w:hAnsi="Times New Roman" w:cs="Times New Roman"/>
        </w:rPr>
        <w:t xml:space="preserve"> 2.</w:t>
      </w:r>
    </w:p>
  </w:footnote>
  <w:footnote w:id="89">
    <w:p w14:paraId="678F7794" w14:textId="32501C12" w:rsidR="006E612E" w:rsidRPr="007E2E67" w:rsidRDefault="006E612E" w:rsidP="007E2E67">
      <w:pPr>
        <w:pStyle w:val="FootnoteText"/>
        <w:jc w:val="both"/>
        <w:rPr>
          <w:rFonts w:ascii="Times New Roman" w:hAnsi="Times New Roman" w:cs="Times New Roman"/>
        </w:rPr>
      </w:pPr>
      <w:r>
        <w:rPr>
          <w:rStyle w:val="FootnoteReference"/>
        </w:rPr>
        <w:footnoteRef/>
      </w:r>
      <w:r>
        <w:t xml:space="preserve"> </w:t>
      </w:r>
      <w:proofErr w:type="spellStart"/>
      <w:r w:rsidRPr="007B6324">
        <w:rPr>
          <w:rFonts w:ascii="Times New Roman" w:eastAsia="Times New Roman" w:hAnsi="Times New Roman" w:cs="Times New Roman"/>
        </w:rPr>
        <w:t>Etone</w:t>
      </w:r>
      <w:proofErr w:type="spellEnd"/>
      <w:r w:rsidR="00401C0B">
        <w:rPr>
          <w:rFonts w:ascii="Times New Roman" w:eastAsia="Times New Roman" w:hAnsi="Times New Roman" w:cs="Times New Roman"/>
        </w:rPr>
        <w:t xml:space="preserve"> (n 17) </w:t>
      </w:r>
      <w:r>
        <w:rPr>
          <w:rFonts w:ascii="Times New Roman" w:hAnsi="Times New Roman" w:cs="Times New Roman"/>
        </w:rPr>
        <w:t>114-</w:t>
      </w:r>
      <w:r w:rsidRPr="007B6324">
        <w:rPr>
          <w:rFonts w:ascii="Times New Roman" w:hAnsi="Times New Roman" w:cs="Times New Roman"/>
        </w:rPr>
        <w:t>117</w:t>
      </w:r>
      <w:r w:rsidR="00CA10DC">
        <w:rPr>
          <w:rFonts w:ascii="Times New Roman" w:hAnsi="Times New Roman" w:cs="Times New Roman"/>
        </w:rPr>
        <w:t xml:space="preserve">; Also see </w:t>
      </w:r>
      <w:r w:rsidR="002A483D">
        <w:rPr>
          <w:rFonts w:ascii="Times New Roman" w:eastAsia="Calibri" w:hAnsi="Times New Roman" w:cs="Times New Roman"/>
          <w:color w:val="000000" w:themeColor="text1"/>
        </w:rPr>
        <w:t>Damian Etone</w:t>
      </w:r>
      <w:r w:rsidR="002A483D" w:rsidRPr="007B6324">
        <w:rPr>
          <w:rFonts w:ascii="Times New Roman" w:eastAsia="Calibri" w:hAnsi="Times New Roman" w:cs="Times New Roman"/>
          <w:color w:val="000000" w:themeColor="text1"/>
        </w:rPr>
        <w:t>, ‘The Universal Periodic Review a</w:t>
      </w:r>
      <w:r w:rsidR="00AF0D9C">
        <w:rPr>
          <w:rFonts w:ascii="Times New Roman" w:eastAsia="Calibri" w:hAnsi="Times New Roman" w:cs="Times New Roman"/>
          <w:color w:val="000000" w:themeColor="text1"/>
        </w:rPr>
        <w:t>nd Transitional Justice</w:t>
      </w:r>
      <w:r w:rsidR="002A483D" w:rsidRPr="007B6324">
        <w:rPr>
          <w:rFonts w:ascii="Times New Roman" w:eastAsia="Calibri" w:hAnsi="Times New Roman" w:cs="Times New Roman"/>
          <w:color w:val="000000" w:themeColor="text1"/>
        </w:rPr>
        <w:t xml:space="preserve">’ in </w:t>
      </w:r>
      <w:proofErr w:type="spellStart"/>
      <w:r w:rsidR="002A483D" w:rsidRPr="007B6324">
        <w:rPr>
          <w:rFonts w:ascii="Times New Roman" w:eastAsia="Calibri" w:hAnsi="Times New Roman" w:cs="Times New Roman"/>
          <w:color w:val="000000" w:themeColor="text1"/>
        </w:rPr>
        <w:t>Etone</w:t>
      </w:r>
      <w:proofErr w:type="spellEnd"/>
      <w:r w:rsidR="002A483D" w:rsidRPr="007B6324">
        <w:rPr>
          <w:rFonts w:ascii="Times New Roman" w:eastAsia="Calibri" w:hAnsi="Times New Roman" w:cs="Times New Roman"/>
          <w:color w:val="000000" w:themeColor="text1"/>
        </w:rPr>
        <w:t>, Nazir</w:t>
      </w:r>
      <w:r w:rsidR="00401C0B">
        <w:rPr>
          <w:rFonts w:ascii="Times New Roman" w:eastAsia="Calibri" w:hAnsi="Times New Roman" w:cs="Times New Roman"/>
          <w:color w:val="000000" w:themeColor="text1"/>
        </w:rPr>
        <w:t xml:space="preserve"> and </w:t>
      </w:r>
      <w:r w:rsidR="002A483D" w:rsidRPr="007B6324">
        <w:rPr>
          <w:rFonts w:ascii="Times New Roman" w:eastAsia="Calibri" w:hAnsi="Times New Roman" w:cs="Times New Roman"/>
          <w:color w:val="000000" w:themeColor="text1"/>
        </w:rPr>
        <w:t>Storey</w:t>
      </w:r>
      <w:r w:rsidR="00401C0B">
        <w:rPr>
          <w:rFonts w:ascii="Times New Roman" w:eastAsia="Calibri" w:hAnsi="Times New Roman" w:cs="Times New Roman"/>
          <w:color w:val="000000" w:themeColor="text1"/>
        </w:rPr>
        <w:t xml:space="preserve"> (n 54) </w:t>
      </w:r>
      <w:r w:rsidR="00D350EF">
        <w:rPr>
          <w:rFonts w:ascii="Times New Roman" w:eastAsia="Calibri" w:hAnsi="Times New Roman" w:cs="Times New Roman"/>
          <w:color w:val="000000" w:themeColor="text1"/>
        </w:rPr>
        <w:t>164-166</w:t>
      </w:r>
      <w:r w:rsidR="002A483D" w:rsidRPr="007B6324">
        <w:rPr>
          <w:rFonts w:ascii="Times New Roman" w:eastAsia="Calibri" w:hAnsi="Times New Roman" w:cs="Times New Roman"/>
          <w:color w:val="000000" w:themeColor="text1"/>
        </w:rPr>
        <w:t>.</w:t>
      </w:r>
    </w:p>
  </w:footnote>
  <w:footnote w:id="90">
    <w:p w14:paraId="74264D01" w14:textId="6E285029" w:rsidR="00F63281" w:rsidRDefault="00F63281">
      <w:pPr>
        <w:pStyle w:val="FootnoteText"/>
      </w:pPr>
      <w:r>
        <w:rPr>
          <w:rStyle w:val="FootnoteReference"/>
        </w:rPr>
        <w:footnoteRef/>
      </w:r>
      <w:r>
        <w:t xml:space="preserve"> </w:t>
      </w:r>
      <w:proofErr w:type="spellStart"/>
      <w:r w:rsidR="007E2E67" w:rsidRPr="007B6324">
        <w:rPr>
          <w:rFonts w:ascii="Times New Roman" w:eastAsia="Times New Roman" w:hAnsi="Times New Roman" w:cs="Times New Roman"/>
        </w:rPr>
        <w:t>Etone</w:t>
      </w:r>
      <w:proofErr w:type="spellEnd"/>
      <w:r w:rsidR="00DC5B0F">
        <w:rPr>
          <w:rFonts w:ascii="Times New Roman" w:eastAsia="Times New Roman" w:hAnsi="Times New Roman" w:cs="Times New Roman"/>
        </w:rPr>
        <w:t xml:space="preserve"> (n 17) </w:t>
      </w:r>
      <w:r w:rsidR="007E2E67" w:rsidRPr="007B6324">
        <w:rPr>
          <w:rFonts w:ascii="Times New Roman" w:hAnsi="Times New Roman" w:cs="Times New Roman"/>
        </w:rPr>
        <w:t>117</w:t>
      </w:r>
      <w:r w:rsidR="007E2E67">
        <w:rPr>
          <w:rFonts w:ascii="Times New Roman" w:hAnsi="Times New Roman" w:cs="Times New Roman"/>
        </w:rPr>
        <w:t>.</w:t>
      </w:r>
    </w:p>
  </w:footnote>
  <w:footnote w:id="91">
    <w:p w14:paraId="076C8100" w14:textId="5CFCD350" w:rsidR="006C70D5" w:rsidRDefault="006C70D5">
      <w:pPr>
        <w:pStyle w:val="FootnoteText"/>
      </w:pPr>
      <w:r>
        <w:rPr>
          <w:rStyle w:val="FootnoteReference"/>
        </w:rPr>
        <w:footnoteRef/>
      </w:r>
      <w:r>
        <w:t xml:space="preserve"> </w:t>
      </w:r>
      <w:proofErr w:type="spellStart"/>
      <w:r w:rsidRPr="007B6324">
        <w:rPr>
          <w:rFonts w:ascii="Times New Roman" w:eastAsia="Times New Roman" w:hAnsi="Times New Roman" w:cs="Times New Roman"/>
        </w:rPr>
        <w:t>Etone</w:t>
      </w:r>
      <w:proofErr w:type="spellEnd"/>
      <w:r w:rsidR="00217A48">
        <w:rPr>
          <w:rFonts w:ascii="Times New Roman" w:eastAsia="Times New Roman" w:hAnsi="Times New Roman" w:cs="Times New Roman"/>
        </w:rPr>
        <w:t xml:space="preserve"> (n 17)</w:t>
      </w:r>
      <w:r w:rsidRPr="007B6324">
        <w:rPr>
          <w:rFonts w:ascii="Times New Roman" w:hAnsi="Times New Roman" w:cs="Times New Roman"/>
        </w:rPr>
        <w:t xml:space="preserve"> 11</w:t>
      </w:r>
      <w:r w:rsidR="00045CC6">
        <w:rPr>
          <w:rFonts w:ascii="Times New Roman" w:hAnsi="Times New Roman" w:cs="Times New Roman"/>
        </w:rPr>
        <w:t>9</w:t>
      </w:r>
      <w:r>
        <w:rPr>
          <w:rFonts w:ascii="Times New Roman" w:hAnsi="Times New Roman" w:cs="Times New Roman"/>
        </w:rPr>
        <w:t>.</w:t>
      </w:r>
    </w:p>
  </w:footnote>
  <w:footnote w:id="92">
    <w:p w14:paraId="78294324" w14:textId="6F8B3E51" w:rsidR="00A40835" w:rsidRDefault="00A40835">
      <w:pPr>
        <w:pStyle w:val="FootnoteText"/>
      </w:pPr>
      <w:r>
        <w:rPr>
          <w:rStyle w:val="FootnoteReference"/>
        </w:rPr>
        <w:footnoteRef/>
      </w:r>
      <w:r>
        <w:t xml:space="preserve"> </w:t>
      </w:r>
      <w:r w:rsidR="00FC2276" w:rsidRPr="00FC2276">
        <w:t>UPR Info</w:t>
      </w:r>
      <w:r w:rsidR="00FC2276">
        <w:t>, ‘</w:t>
      </w:r>
      <w:r w:rsidR="00FC2276" w:rsidRPr="00FC2276">
        <w:t>Action Categories</w:t>
      </w:r>
      <w:r w:rsidR="00FC2276">
        <w:t xml:space="preserve">’ available at </w:t>
      </w:r>
      <w:hyperlink r:id="rId14" w:history="1">
        <w:r w:rsidR="00FC2276" w:rsidRPr="002561E8">
          <w:rPr>
            <w:rStyle w:val="Hyperlink"/>
          </w:rPr>
          <w:t>https://upr-info.org/sites/default/files/general-document/2022-05/Database_Action_Category.pdf</w:t>
        </w:r>
      </w:hyperlink>
      <w:r w:rsidR="00FC2276">
        <w:t xml:space="preserve"> </w:t>
      </w:r>
    </w:p>
  </w:footnote>
  <w:footnote w:id="93">
    <w:p w14:paraId="64A8D104" w14:textId="055A6857" w:rsidR="00D5442A" w:rsidRDefault="00D5442A">
      <w:pPr>
        <w:pStyle w:val="FootnoteText"/>
      </w:pPr>
      <w:r>
        <w:rPr>
          <w:rStyle w:val="FootnoteReference"/>
        </w:rPr>
        <w:footnoteRef/>
      </w:r>
      <w:r>
        <w:t xml:space="preserve"> </w:t>
      </w:r>
      <w:r w:rsidR="00125685" w:rsidRPr="007B6324">
        <w:rPr>
          <w:rFonts w:ascii="Times New Roman" w:hAnsi="Times New Roman" w:cs="Times New Roman"/>
        </w:rPr>
        <w:t>Abebe</w:t>
      </w:r>
      <w:r w:rsidR="00A00DDC">
        <w:rPr>
          <w:rFonts w:ascii="Times New Roman" w:hAnsi="Times New Roman" w:cs="Times New Roman"/>
        </w:rPr>
        <w:t xml:space="preserve"> (n 14) </w:t>
      </w:r>
      <w:r w:rsidR="00125685" w:rsidRPr="007B6324">
        <w:rPr>
          <w:rFonts w:ascii="Times New Roman" w:hAnsi="Times New Roman" w:cs="Times New Roman"/>
        </w:rPr>
        <w:t xml:space="preserve">16; </w:t>
      </w:r>
      <w:proofErr w:type="spellStart"/>
      <w:r w:rsidR="00125685" w:rsidRPr="007B6324">
        <w:rPr>
          <w:rFonts w:ascii="Times New Roman" w:hAnsi="Times New Roman" w:cs="Times New Roman"/>
        </w:rPr>
        <w:t>Etone</w:t>
      </w:r>
      <w:proofErr w:type="spellEnd"/>
      <w:r w:rsidR="009E665E">
        <w:rPr>
          <w:rFonts w:ascii="Times New Roman" w:hAnsi="Times New Roman" w:cs="Times New Roman"/>
        </w:rPr>
        <w:t xml:space="preserve"> (n 17)</w:t>
      </w:r>
      <w:r w:rsidR="00125685" w:rsidRPr="007B6324">
        <w:rPr>
          <w:rFonts w:ascii="Times New Roman" w:hAnsi="Times New Roman" w:cs="Times New Roman"/>
        </w:rPr>
        <w:t xml:space="preserve">116-117; UPR Info, ‘A Guide for Recommending States to the UPR’ (July 2015] </w:t>
      </w:r>
      <w:r w:rsidR="00125685" w:rsidRPr="007B6324">
        <w:rPr>
          <w:rFonts w:ascii="Times New Roman" w:hAnsi="Times New Roman" w:cs="Times New Roman"/>
          <w:i/>
          <w:iCs/>
        </w:rPr>
        <w:t>Policy Report</w:t>
      </w:r>
      <w:r w:rsidR="00125685" w:rsidRPr="007B6324">
        <w:rPr>
          <w:rFonts w:ascii="Times New Roman" w:hAnsi="Times New Roman" w:cs="Times New Roman"/>
        </w:rPr>
        <w:t>,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086B0F" w14:paraId="54100794" w14:textId="77777777" w:rsidTr="4B086B0F">
      <w:trPr>
        <w:trHeight w:val="300"/>
      </w:trPr>
      <w:tc>
        <w:tcPr>
          <w:tcW w:w="3005" w:type="dxa"/>
        </w:tcPr>
        <w:p w14:paraId="290ECEF6" w14:textId="37F96196" w:rsidR="4B086B0F" w:rsidRDefault="4B086B0F" w:rsidP="4B086B0F">
          <w:pPr>
            <w:pStyle w:val="Header"/>
            <w:ind w:left="-115"/>
          </w:pPr>
        </w:p>
      </w:tc>
      <w:tc>
        <w:tcPr>
          <w:tcW w:w="3005" w:type="dxa"/>
        </w:tcPr>
        <w:p w14:paraId="71C7BB4F" w14:textId="1C6B1419" w:rsidR="4B086B0F" w:rsidRDefault="4B086B0F" w:rsidP="4B086B0F">
          <w:pPr>
            <w:pStyle w:val="Header"/>
            <w:jc w:val="center"/>
          </w:pPr>
        </w:p>
      </w:tc>
      <w:tc>
        <w:tcPr>
          <w:tcW w:w="3005" w:type="dxa"/>
        </w:tcPr>
        <w:p w14:paraId="61F9F32F" w14:textId="4FE75A88" w:rsidR="4B086B0F" w:rsidRDefault="4B086B0F" w:rsidP="4B086B0F">
          <w:pPr>
            <w:pStyle w:val="Header"/>
            <w:ind w:right="-115"/>
            <w:jc w:val="right"/>
          </w:pPr>
        </w:p>
      </w:tc>
    </w:tr>
  </w:tbl>
  <w:p w14:paraId="0E1F1E82" w14:textId="1819712F" w:rsidR="4B086B0F" w:rsidRDefault="4B086B0F" w:rsidP="4B086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E36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C607B"/>
    <w:multiLevelType w:val="hybridMultilevel"/>
    <w:tmpl w:val="A48038D6"/>
    <w:lvl w:ilvl="0" w:tplc="5C767266">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A486B"/>
    <w:multiLevelType w:val="hybridMultilevel"/>
    <w:tmpl w:val="5546E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76F92"/>
    <w:multiLevelType w:val="multilevel"/>
    <w:tmpl w:val="331E51FC"/>
    <w:lvl w:ilvl="0">
      <w:start w:val="2"/>
      <w:numFmt w:val="upperRoman"/>
      <w:lvlText w:val="%1."/>
      <w:lvlJc w:val="left"/>
      <w:pPr>
        <w:ind w:left="1080" w:hanging="72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D0956CB"/>
    <w:multiLevelType w:val="hybridMultilevel"/>
    <w:tmpl w:val="8828D024"/>
    <w:lvl w:ilvl="0" w:tplc="020E260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9270C"/>
    <w:multiLevelType w:val="hybridMultilevel"/>
    <w:tmpl w:val="CFD0F2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AD0F9C"/>
    <w:multiLevelType w:val="hybridMultilevel"/>
    <w:tmpl w:val="0BF89786"/>
    <w:lvl w:ilvl="0" w:tplc="5C767266">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8C052E"/>
    <w:multiLevelType w:val="hybridMultilevel"/>
    <w:tmpl w:val="49C69510"/>
    <w:lvl w:ilvl="0" w:tplc="E7D695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C77A4"/>
    <w:multiLevelType w:val="hybridMultilevel"/>
    <w:tmpl w:val="0EE4AD8E"/>
    <w:lvl w:ilvl="0" w:tplc="F9F487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B597B"/>
    <w:multiLevelType w:val="hybridMultilevel"/>
    <w:tmpl w:val="298AF0A8"/>
    <w:lvl w:ilvl="0" w:tplc="5C767266">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0E4C06"/>
    <w:multiLevelType w:val="hybridMultilevel"/>
    <w:tmpl w:val="7A0827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0B3327"/>
    <w:multiLevelType w:val="multilevel"/>
    <w:tmpl w:val="47501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446487"/>
    <w:multiLevelType w:val="hybridMultilevel"/>
    <w:tmpl w:val="C8807056"/>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8F10E7"/>
    <w:multiLevelType w:val="hybridMultilevel"/>
    <w:tmpl w:val="5B7ACF72"/>
    <w:lvl w:ilvl="0" w:tplc="5C767266">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4E0622"/>
    <w:multiLevelType w:val="hybridMultilevel"/>
    <w:tmpl w:val="C6B80934"/>
    <w:lvl w:ilvl="0" w:tplc="A21EFD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C2582B"/>
    <w:multiLevelType w:val="hybridMultilevel"/>
    <w:tmpl w:val="67407F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907716"/>
    <w:multiLevelType w:val="multilevel"/>
    <w:tmpl w:val="8C9016C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66B5DDA"/>
    <w:multiLevelType w:val="hybridMultilevel"/>
    <w:tmpl w:val="53788A20"/>
    <w:lvl w:ilvl="0" w:tplc="8FECD7E2">
      <w:start w:val="1"/>
      <w:numFmt w:val="upperRoman"/>
      <w:lvlText w:val="%1."/>
      <w:lvlJc w:val="right"/>
      <w:pPr>
        <w:ind w:left="770" w:hanging="360"/>
      </w:pPr>
      <w:rPr>
        <w:i w:val="0"/>
        <w:iCs w:val="0"/>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8" w15:restartNumberingAfterBreak="0">
    <w:nsid w:val="66F21D30"/>
    <w:multiLevelType w:val="hybridMultilevel"/>
    <w:tmpl w:val="002E608A"/>
    <w:lvl w:ilvl="0" w:tplc="2DC2E9B4">
      <w:start w:val="1"/>
      <w:numFmt w:val="lowerRoman"/>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9" w15:restartNumberingAfterBreak="0">
    <w:nsid w:val="67351ED5"/>
    <w:multiLevelType w:val="hybridMultilevel"/>
    <w:tmpl w:val="9AB0E672"/>
    <w:lvl w:ilvl="0" w:tplc="2DC2E9B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8A6EA0"/>
    <w:multiLevelType w:val="hybridMultilevel"/>
    <w:tmpl w:val="75B28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0E5CE9"/>
    <w:multiLevelType w:val="hybridMultilevel"/>
    <w:tmpl w:val="2ABCC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115CF5"/>
    <w:multiLevelType w:val="hybridMultilevel"/>
    <w:tmpl w:val="EB1295AE"/>
    <w:lvl w:ilvl="0" w:tplc="E472AD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EB66F9"/>
    <w:multiLevelType w:val="hybridMultilevel"/>
    <w:tmpl w:val="5E765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6C3FC7"/>
    <w:multiLevelType w:val="hybridMultilevel"/>
    <w:tmpl w:val="FBACA9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D90A83"/>
    <w:multiLevelType w:val="hybridMultilevel"/>
    <w:tmpl w:val="F000EDF0"/>
    <w:lvl w:ilvl="0" w:tplc="5C767266">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4021944">
    <w:abstractNumId w:val="7"/>
  </w:num>
  <w:num w:numId="2" w16cid:durableId="1230531600">
    <w:abstractNumId w:val="4"/>
  </w:num>
  <w:num w:numId="3" w16cid:durableId="328681746">
    <w:abstractNumId w:val="8"/>
  </w:num>
  <w:num w:numId="4" w16cid:durableId="1400863370">
    <w:abstractNumId w:val="14"/>
  </w:num>
  <w:num w:numId="5" w16cid:durableId="1422944817">
    <w:abstractNumId w:val="0"/>
  </w:num>
  <w:num w:numId="6" w16cid:durableId="749695024">
    <w:abstractNumId w:val="20"/>
  </w:num>
  <w:num w:numId="7" w16cid:durableId="430668188">
    <w:abstractNumId w:val="2"/>
  </w:num>
  <w:num w:numId="8" w16cid:durableId="665983910">
    <w:abstractNumId w:val="17"/>
  </w:num>
  <w:num w:numId="9" w16cid:durableId="474638686">
    <w:abstractNumId w:val="3"/>
  </w:num>
  <w:num w:numId="10" w16cid:durableId="611982810">
    <w:abstractNumId w:val="5"/>
  </w:num>
  <w:num w:numId="11" w16cid:durableId="1585145558">
    <w:abstractNumId w:val="22"/>
  </w:num>
  <w:num w:numId="12" w16cid:durableId="126167539">
    <w:abstractNumId w:val="23"/>
  </w:num>
  <w:num w:numId="13" w16cid:durableId="1694921151">
    <w:abstractNumId w:val="21"/>
  </w:num>
  <w:num w:numId="14" w16cid:durableId="1438600242">
    <w:abstractNumId w:val="16"/>
  </w:num>
  <w:num w:numId="15" w16cid:durableId="828518705">
    <w:abstractNumId w:val="11"/>
  </w:num>
  <w:num w:numId="16" w16cid:durableId="1629049697">
    <w:abstractNumId w:val="1"/>
  </w:num>
  <w:num w:numId="17" w16cid:durableId="261380594">
    <w:abstractNumId w:val="15"/>
  </w:num>
  <w:num w:numId="18" w16cid:durableId="2086955428">
    <w:abstractNumId w:val="24"/>
  </w:num>
  <w:num w:numId="19" w16cid:durableId="504368262">
    <w:abstractNumId w:val="10"/>
  </w:num>
  <w:num w:numId="20" w16cid:durableId="1079522367">
    <w:abstractNumId w:val="25"/>
  </w:num>
  <w:num w:numId="21" w16cid:durableId="1546335694">
    <w:abstractNumId w:val="12"/>
  </w:num>
  <w:num w:numId="22" w16cid:durableId="394284932">
    <w:abstractNumId w:val="9"/>
  </w:num>
  <w:num w:numId="23" w16cid:durableId="558324081">
    <w:abstractNumId w:val="6"/>
  </w:num>
  <w:num w:numId="24" w16cid:durableId="71436227">
    <w:abstractNumId w:val="19"/>
  </w:num>
  <w:num w:numId="25" w16cid:durableId="2021661830">
    <w:abstractNumId w:val="18"/>
  </w:num>
  <w:num w:numId="26" w16cid:durableId="7737428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8D3"/>
    <w:rsid w:val="0000055F"/>
    <w:rsid w:val="0000212D"/>
    <w:rsid w:val="0000633D"/>
    <w:rsid w:val="00006761"/>
    <w:rsid w:val="00006E89"/>
    <w:rsid w:val="0000757B"/>
    <w:rsid w:val="00007FD2"/>
    <w:rsid w:val="00011098"/>
    <w:rsid w:val="00012161"/>
    <w:rsid w:val="000122C0"/>
    <w:rsid w:val="00013234"/>
    <w:rsid w:val="000139C0"/>
    <w:rsid w:val="00016E3E"/>
    <w:rsid w:val="000179AE"/>
    <w:rsid w:val="000202E8"/>
    <w:rsid w:val="00021B83"/>
    <w:rsid w:val="00021DA0"/>
    <w:rsid w:val="000223C4"/>
    <w:rsid w:val="00022BB1"/>
    <w:rsid w:val="00022E41"/>
    <w:rsid w:val="00023141"/>
    <w:rsid w:val="0002348B"/>
    <w:rsid w:val="00023528"/>
    <w:rsid w:val="00024452"/>
    <w:rsid w:val="000264BD"/>
    <w:rsid w:val="000264EE"/>
    <w:rsid w:val="000308F6"/>
    <w:rsid w:val="0003214F"/>
    <w:rsid w:val="000327DB"/>
    <w:rsid w:val="00033361"/>
    <w:rsid w:val="000344F6"/>
    <w:rsid w:val="0003499E"/>
    <w:rsid w:val="00034BFE"/>
    <w:rsid w:val="00035004"/>
    <w:rsid w:val="00035768"/>
    <w:rsid w:val="00037391"/>
    <w:rsid w:val="00037D81"/>
    <w:rsid w:val="00041275"/>
    <w:rsid w:val="000412B0"/>
    <w:rsid w:val="00041C97"/>
    <w:rsid w:val="00042DF1"/>
    <w:rsid w:val="00043200"/>
    <w:rsid w:val="000446C7"/>
    <w:rsid w:val="00044977"/>
    <w:rsid w:val="000456DE"/>
    <w:rsid w:val="00045CC6"/>
    <w:rsid w:val="00046808"/>
    <w:rsid w:val="000468FA"/>
    <w:rsid w:val="000473B0"/>
    <w:rsid w:val="00047591"/>
    <w:rsid w:val="00051D52"/>
    <w:rsid w:val="00053574"/>
    <w:rsid w:val="0005383E"/>
    <w:rsid w:val="00055342"/>
    <w:rsid w:val="00055845"/>
    <w:rsid w:val="00061285"/>
    <w:rsid w:val="00061CA6"/>
    <w:rsid w:val="00063356"/>
    <w:rsid w:val="000634BC"/>
    <w:rsid w:val="000638B0"/>
    <w:rsid w:val="0006461E"/>
    <w:rsid w:val="0006715B"/>
    <w:rsid w:val="00067E65"/>
    <w:rsid w:val="00067EF5"/>
    <w:rsid w:val="0007059D"/>
    <w:rsid w:val="000708B4"/>
    <w:rsid w:val="0007092B"/>
    <w:rsid w:val="000709C5"/>
    <w:rsid w:val="00070E49"/>
    <w:rsid w:val="000718C7"/>
    <w:rsid w:val="00071911"/>
    <w:rsid w:val="00071CB8"/>
    <w:rsid w:val="0007215A"/>
    <w:rsid w:val="000745AF"/>
    <w:rsid w:val="00075779"/>
    <w:rsid w:val="000757A4"/>
    <w:rsid w:val="00075DB1"/>
    <w:rsid w:val="000769AD"/>
    <w:rsid w:val="00076D93"/>
    <w:rsid w:val="00076DD7"/>
    <w:rsid w:val="000812C1"/>
    <w:rsid w:val="00082708"/>
    <w:rsid w:val="000835A3"/>
    <w:rsid w:val="00084375"/>
    <w:rsid w:val="00084707"/>
    <w:rsid w:val="00084B36"/>
    <w:rsid w:val="00084E9F"/>
    <w:rsid w:val="000862B7"/>
    <w:rsid w:val="00086571"/>
    <w:rsid w:val="00086A1F"/>
    <w:rsid w:val="0009096B"/>
    <w:rsid w:val="0009176C"/>
    <w:rsid w:val="00092B61"/>
    <w:rsid w:val="00092E87"/>
    <w:rsid w:val="000939F0"/>
    <w:rsid w:val="00093FD1"/>
    <w:rsid w:val="00094172"/>
    <w:rsid w:val="00094756"/>
    <w:rsid w:val="00095DD6"/>
    <w:rsid w:val="000969B1"/>
    <w:rsid w:val="0009797E"/>
    <w:rsid w:val="000A07D3"/>
    <w:rsid w:val="000A0B15"/>
    <w:rsid w:val="000A1881"/>
    <w:rsid w:val="000A2899"/>
    <w:rsid w:val="000A2C76"/>
    <w:rsid w:val="000A31ED"/>
    <w:rsid w:val="000A3F90"/>
    <w:rsid w:val="000A4B79"/>
    <w:rsid w:val="000A635A"/>
    <w:rsid w:val="000A6B2D"/>
    <w:rsid w:val="000B1524"/>
    <w:rsid w:val="000B1686"/>
    <w:rsid w:val="000B1725"/>
    <w:rsid w:val="000B1F95"/>
    <w:rsid w:val="000B2952"/>
    <w:rsid w:val="000B693F"/>
    <w:rsid w:val="000B6BC6"/>
    <w:rsid w:val="000B7FA2"/>
    <w:rsid w:val="000C00AB"/>
    <w:rsid w:val="000C01D0"/>
    <w:rsid w:val="000C085D"/>
    <w:rsid w:val="000C0B29"/>
    <w:rsid w:val="000C212B"/>
    <w:rsid w:val="000C2792"/>
    <w:rsid w:val="000C3FC6"/>
    <w:rsid w:val="000C40AD"/>
    <w:rsid w:val="000C6434"/>
    <w:rsid w:val="000C749D"/>
    <w:rsid w:val="000D258E"/>
    <w:rsid w:val="000D25BC"/>
    <w:rsid w:val="000D2C4D"/>
    <w:rsid w:val="000D39C9"/>
    <w:rsid w:val="000D3A2B"/>
    <w:rsid w:val="000D3A40"/>
    <w:rsid w:val="000D4776"/>
    <w:rsid w:val="000D4902"/>
    <w:rsid w:val="000D491E"/>
    <w:rsid w:val="000D54A6"/>
    <w:rsid w:val="000D5F04"/>
    <w:rsid w:val="000D5F28"/>
    <w:rsid w:val="000D636B"/>
    <w:rsid w:val="000D69F6"/>
    <w:rsid w:val="000D6C01"/>
    <w:rsid w:val="000E01E9"/>
    <w:rsid w:val="000E0318"/>
    <w:rsid w:val="000E0606"/>
    <w:rsid w:val="000E186A"/>
    <w:rsid w:val="000E1E92"/>
    <w:rsid w:val="000E38CB"/>
    <w:rsid w:val="000E3CC4"/>
    <w:rsid w:val="000E4709"/>
    <w:rsid w:val="000E4BBF"/>
    <w:rsid w:val="000E5DB9"/>
    <w:rsid w:val="000E6CEB"/>
    <w:rsid w:val="000E766F"/>
    <w:rsid w:val="000E7E31"/>
    <w:rsid w:val="000F0CF7"/>
    <w:rsid w:val="000F28B3"/>
    <w:rsid w:val="000F2AFE"/>
    <w:rsid w:val="000F340E"/>
    <w:rsid w:val="000F397A"/>
    <w:rsid w:val="000F3FE8"/>
    <w:rsid w:val="000F4463"/>
    <w:rsid w:val="000F5C31"/>
    <w:rsid w:val="000F6150"/>
    <w:rsid w:val="000F7D9B"/>
    <w:rsid w:val="000F7ED3"/>
    <w:rsid w:val="00100A67"/>
    <w:rsid w:val="001012A0"/>
    <w:rsid w:val="0010272B"/>
    <w:rsid w:val="001027A6"/>
    <w:rsid w:val="0010286C"/>
    <w:rsid w:val="00102F6B"/>
    <w:rsid w:val="001043ED"/>
    <w:rsid w:val="0010453B"/>
    <w:rsid w:val="00104999"/>
    <w:rsid w:val="001053C4"/>
    <w:rsid w:val="0010594C"/>
    <w:rsid w:val="001061BE"/>
    <w:rsid w:val="00106232"/>
    <w:rsid w:val="00106FF0"/>
    <w:rsid w:val="00107B3D"/>
    <w:rsid w:val="00107E17"/>
    <w:rsid w:val="001107AC"/>
    <w:rsid w:val="001108EA"/>
    <w:rsid w:val="00110B46"/>
    <w:rsid w:val="00110DEE"/>
    <w:rsid w:val="001115A8"/>
    <w:rsid w:val="0011286F"/>
    <w:rsid w:val="001128D7"/>
    <w:rsid w:val="00113218"/>
    <w:rsid w:val="0011406B"/>
    <w:rsid w:val="001140CC"/>
    <w:rsid w:val="001142CA"/>
    <w:rsid w:val="0011580F"/>
    <w:rsid w:val="00116B0F"/>
    <w:rsid w:val="001172EF"/>
    <w:rsid w:val="00117667"/>
    <w:rsid w:val="00117DEA"/>
    <w:rsid w:val="00117E0C"/>
    <w:rsid w:val="00117F82"/>
    <w:rsid w:val="00120E39"/>
    <w:rsid w:val="00120F45"/>
    <w:rsid w:val="001212D0"/>
    <w:rsid w:val="001215B6"/>
    <w:rsid w:val="00121B68"/>
    <w:rsid w:val="0012237D"/>
    <w:rsid w:val="001223B4"/>
    <w:rsid w:val="00122C69"/>
    <w:rsid w:val="00122E21"/>
    <w:rsid w:val="00123A25"/>
    <w:rsid w:val="00125685"/>
    <w:rsid w:val="00125BFF"/>
    <w:rsid w:val="0012692B"/>
    <w:rsid w:val="00130600"/>
    <w:rsid w:val="00130AEA"/>
    <w:rsid w:val="00131502"/>
    <w:rsid w:val="0013260A"/>
    <w:rsid w:val="0013318A"/>
    <w:rsid w:val="00134241"/>
    <w:rsid w:val="00134C82"/>
    <w:rsid w:val="0013524E"/>
    <w:rsid w:val="001357AC"/>
    <w:rsid w:val="001362F5"/>
    <w:rsid w:val="0013717F"/>
    <w:rsid w:val="001372A3"/>
    <w:rsid w:val="00141022"/>
    <w:rsid w:val="0014138D"/>
    <w:rsid w:val="0014179D"/>
    <w:rsid w:val="00141DEF"/>
    <w:rsid w:val="00142572"/>
    <w:rsid w:val="0014275A"/>
    <w:rsid w:val="00143691"/>
    <w:rsid w:val="001437CA"/>
    <w:rsid w:val="001439D9"/>
    <w:rsid w:val="00143CD3"/>
    <w:rsid w:val="00143EE3"/>
    <w:rsid w:val="0014439A"/>
    <w:rsid w:val="0014485D"/>
    <w:rsid w:val="00145483"/>
    <w:rsid w:val="0014645A"/>
    <w:rsid w:val="00146473"/>
    <w:rsid w:val="00146E52"/>
    <w:rsid w:val="00150145"/>
    <w:rsid w:val="001501DD"/>
    <w:rsid w:val="00150DD5"/>
    <w:rsid w:val="0015175A"/>
    <w:rsid w:val="00152EFE"/>
    <w:rsid w:val="001560BC"/>
    <w:rsid w:val="00156723"/>
    <w:rsid w:val="001569EE"/>
    <w:rsid w:val="00156C91"/>
    <w:rsid w:val="0015739A"/>
    <w:rsid w:val="00160206"/>
    <w:rsid w:val="001604C9"/>
    <w:rsid w:val="00161A5C"/>
    <w:rsid w:val="001649B8"/>
    <w:rsid w:val="00164D4B"/>
    <w:rsid w:val="0016526C"/>
    <w:rsid w:val="0016555E"/>
    <w:rsid w:val="00165FC7"/>
    <w:rsid w:val="001661B1"/>
    <w:rsid w:val="00166457"/>
    <w:rsid w:val="0016758D"/>
    <w:rsid w:val="001705B3"/>
    <w:rsid w:val="00171387"/>
    <w:rsid w:val="00171868"/>
    <w:rsid w:val="00171CEA"/>
    <w:rsid w:val="00171E8B"/>
    <w:rsid w:val="001724F4"/>
    <w:rsid w:val="001732F5"/>
    <w:rsid w:val="00173341"/>
    <w:rsid w:val="00175A17"/>
    <w:rsid w:val="0017622A"/>
    <w:rsid w:val="00181649"/>
    <w:rsid w:val="00181DD8"/>
    <w:rsid w:val="001823CE"/>
    <w:rsid w:val="001838F9"/>
    <w:rsid w:val="00184448"/>
    <w:rsid w:val="0018537D"/>
    <w:rsid w:val="00185899"/>
    <w:rsid w:val="00185AE6"/>
    <w:rsid w:val="0018604B"/>
    <w:rsid w:val="001861D4"/>
    <w:rsid w:val="001862F8"/>
    <w:rsid w:val="00186660"/>
    <w:rsid w:val="00186BD2"/>
    <w:rsid w:val="00187211"/>
    <w:rsid w:val="001872A8"/>
    <w:rsid w:val="00190E05"/>
    <w:rsid w:val="00191F34"/>
    <w:rsid w:val="00192776"/>
    <w:rsid w:val="00192D76"/>
    <w:rsid w:val="001937F9"/>
    <w:rsid w:val="00193C3D"/>
    <w:rsid w:val="001943DF"/>
    <w:rsid w:val="00194804"/>
    <w:rsid w:val="00194D0E"/>
    <w:rsid w:val="00194E7F"/>
    <w:rsid w:val="00195E31"/>
    <w:rsid w:val="00195E6E"/>
    <w:rsid w:val="001960DA"/>
    <w:rsid w:val="001965C1"/>
    <w:rsid w:val="0019714D"/>
    <w:rsid w:val="001A001D"/>
    <w:rsid w:val="001A079A"/>
    <w:rsid w:val="001A11EA"/>
    <w:rsid w:val="001A13C0"/>
    <w:rsid w:val="001A2639"/>
    <w:rsid w:val="001A321C"/>
    <w:rsid w:val="001A3315"/>
    <w:rsid w:val="001A3EB4"/>
    <w:rsid w:val="001A4081"/>
    <w:rsid w:val="001A4C9A"/>
    <w:rsid w:val="001A54EE"/>
    <w:rsid w:val="001A5551"/>
    <w:rsid w:val="001A5B07"/>
    <w:rsid w:val="001A6103"/>
    <w:rsid w:val="001A64AC"/>
    <w:rsid w:val="001A7508"/>
    <w:rsid w:val="001A7B81"/>
    <w:rsid w:val="001B045D"/>
    <w:rsid w:val="001B0808"/>
    <w:rsid w:val="001B2714"/>
    <w:rsid w:val="001B2D37"/>
    <w:rsid w:val="001B39B5"/>
    <w:rsid w:val="001B3C45"/>
    <w:rsid w:val="001B496B"/>
    <w:rsid w:val="001B4BC6"/>
    <w:rsid w:val="001B51CF"/>
    <w:rsid w:val="001B5585"/>
    <w:rsid w:val="001B60D4"/>
    <w:rsid w:val="001B718D"/>
    <w:rsid w:val="001B78C1"/>
    <w:rsid w:val="001C1894"/>
    <w:rsid w:val="001C1B1E"/>
    <w:rsid w:val="001C1E6A"/>
    <w:rsid w:val="001C2399"/>
    <w:rsid w:val="001C3528"/>
    <w:rsid w:val="001C3CF8"/>
    <w:rsid w:val="001C4622"/>
    <w:rsid w:val="001C56DC"/>
    <w:rsid w:val="001C5712"/>
    <w:rsid w:val="001C6150"/>
    <w:rsid w:val="001C66D8"/>
    <w:rsid w:val="001C72C4"/>
    <w:rsid w:val="001C7369"/>
    <w:rsid w:val="001C7E0A"/>
    <w:rsid w:val="001D02DB"/>
    <w:rsid w:val="001D0D81"/>
    <w:rsid w:val="001D15FF"/>
    <w:rsid w:val="001D198D"/>
    <w:rsid w:val="001D20A8"/>
    <w:rsid w:val="001D2B0F"/>
    <w:rsid w:val="001D3018"/>
    <w:rsid w:val="001D329F"/>
    <w:rsid w:val="001D35E5"/>
    <w:rsid w:val="001D3FFF"/>
    <w:rsid w:val="001D4448"/>
    <w:rsid w:val="001D4619"/>
    <w:rsid w:val="001D4DE9"/>
    <w:rsid w:val="001D5A63"/>
    <w:rsid w:val="001D5BDC"/>
    <w:rsid w:val="001D655B"/>
    <w:rsid w:val="001D671A"/>
    <w:rsid w:val="001D6B03"/>
    <w:rsid w:val="001D6CB7"/>
    <w:rsid w:val="001D6F64"/>
    <w:rsid w:val="001E1C74"/>
    <w:rsid w:val="001E2082"/>
    <w:rsid w:val="001E22BB"/>
    <w:rsid w:val="001E34EE"/>
    <w:rsid w:val="001E3E2E"/>
    <w:rsid w:val="001E442B"/>
    <w:rsid w:val="001E51DD"/>
    <w:rsid w:val="001E6518"/>
    <w:rsid w:val="001F2C71"/>
    <w:rsid w:val="001F2EAB"/>
    <w:rsid w:val="001F5119"/>
    <w:rsid w:val="001F548D"/>
    <w:rsid w:val="001F586A"/>
    <w:rsid w:val="0020003A"/>
    <w:rsid w:val="0020028D"/>
    <w:rsid w:val="00200691"/>
    <w:rsid w:val="00200CE4"/>
    <w:rsid w:val="00201DF7"/>
    <w:rsid w:val="00201ECD"/>
    <w:rsid w:val="00201F90"/>
    <w:rsid w:val="0020229B"/>
    <w:rsid w:val="00202473"/>
    <w:rsid w:val="002029CD"/>
    <w:rsid w:val="00203A62"/>
    <w:rsid w:val="00203A74"/>
    <w:rsid w:val="0020486D"/>
    <w:rsid w:val="002056CA"/>
    <w:rsid w:val="002074EE"/>
    <w:rsid w:val="0020768D"/>
    <w:rsid w:val="00207753"/>
    <w:rsid w:val="00210505"/>
    <w:rsid w:val="002105CA"/>
    <w:rsid w:val="00210FFC"/>
    <w:rsid w:val="00212409"/>
    <w:rsid w:val="00212E24"/>
    <w:rsid w:val="0021405A"/>
    <w:rsid w:val="0021479F"/>
    <w:rsid w:val="00214CE9"/>
    <w:rsid w:val="0021736F"/>
    <w:rsid w:val="00217A48"/>
    <w:rsid w:val="00217B7D"/>
    <w:rsid w:val="00220287"/>
    <w:rsid w:val="00220D31"/>
    <w:rsid w:val="00222131"/>
    <w:rsid w:val="002221F6"/>
    <w:rsid w:val="0022233D"/>
    <w:rsid w:val="00222865"/>
    <w:rsid w:val="00223187"/>
    <w:rsid w:val="00223695"/>
    <w:rsid w:val="00224679"/>
    <w:rsid w:val="00224876"/>
    <w:rsid w:val="00225CB4"/>
    <w:rsid w:val="00225D30"/>
    <w:rsid w:val="002271CE"/>
    <w:rsid w:val="0022767A"/>
    <w:rsid w:val="00227E52"/>
    <w:rsid w:val="00230401"/>
    <w:rsid w:val="00232DCA"/>
    <w:rsid w:val="00232DE6"/>
    <w:rsid w:val="0023351D"/>
    <w:rsid w:val="00233CDD"/>
    <w:rsid w:val="00234284"/>
    <w:rsid w:val="00234B37"/>
    <w:rsid w:val="00234D77"/>
    <w:rsid w:val="00235131"/>
    <w:rsid w:val="0023597D"/>
    <w:rsid w:val="002359EE"/>
    <w:rsid w:val="002363D7"/>
    <w:rsid w:val="0023645A"/>
    <w:rsid w:val="00236708"/>
    <w:rsid w:val="00237351"/>
    <w:rsid w:val="00237A32"/>
    <w:rsid w:val="002408DE"/>
    <w:rsid w:val="002413B5"/>
    <w:rsid w:val="00241C53"/>
    <w:rsid w:val="00241E4E"/>
    <w:rsid w:val="00241EFA"/>
    <w:rsid w:val="0024263C"/>
    <w:rsid w:val="002427C9"/>
    <w:rsid w:val="002431E2"/>
    <w:rsid w:val="002434A9"/>
    <w:rsid w:val="00243EA6"/>
    <w:rsid w:val="002447CB"/>
    <w:rsid w:val="00244E7D"/>
    <w:rsid w:val="00245F76"/>
    <w:rsid w:val="00246ED6"/>
    <w:rsid w:val="0024753A"/>
    <w:rsid w:val="0024773A"/>
    <w:rsid w:val="00247E30"/>
    <w:rsid w:val="00250897"/>
    <w:rsid w:val="00250E75"/>
    <w:rsid w:val="00250FE6"/>
    <w:rsid w:val="0025187A"/>
    <w:rsid w:val="002545B7"/>
    <w:rsid w:val="00254A1C"/>
    <w:rsid w:val="00254ECB"/>
    <w:rsid w:val="002562EB"/>
    <w:rsid w:val="0025676A"/>
    <w:rsid w:val="00256E0E"/>
    <w:rsid w:val="00257B07"/>
    <w:rsid w:val="0026001D"/>
    <w:rsid w:val="002618F5"/>
    <w:rsid w:val="002628DB"/>
    <w:rsid w:val="002631A2"/>
    <w:rsid w:val="00263E95"/>
    <w:rsid w:val="00264AC5"/>
    <w:rsid w:val="00264D75"/>
    <w:rsid w:val="0026541C"/>
    <w:rsid w:val="00265BD8"/>
    <w:rsid w:val="002661C0"/>
    <w:rsid w:val="00266B87"/>
    <w:rsid w:val="00267D9A"/>
    <w:rsid w:val="0027079A"/>
    <w:rsid w:val="00270F15"/>
    <w:rsid w:val="002710DA"/>
    <w:rsid w:val="00271E6A"/>
    <w:rsid w:val="00272174"/>
    <w:rsid w:val="00272891"/>
    <w:rsid w:val="00272B5B"/>
    <w:rsid w:val="002733CC"/>
    <w:rsid w:val="0027345C"/>
    <w:rsid w:val="00275DC7"/>
    <w:rsid w:val="002762A8"/>
    <w:rsid w:val="00280969"/>
    <w:rsid w:val="00280B89"/>
    <w:rsid w:val="0028153B"/>
    <w:rsid w:val="0028205D"/>
    <w:rsid w:val="00282346"/>
    <w:rsid w:val="00282ED4"/>
    <w:rsid w:val="00283029"/>
    <w:rsid w:val="00283819"/>
    <w:rsid w:val="00283C7D"/>
    <w:rsid w:val="00284766"/>
    <w:rsid w:val="00284C0D"/>
    <w:rsid w:val="00285498"/>
    <w:rsid w:val="0029090E"/>
    <w:rsid w:val="0029122F"/>
    <w:rsid w:val="0029126F"/>
    <w:rsid w:val="002926B9"/>
    <w:rsid w:val="002939ED"/>
    <w:rsid w:val="00294BF6"/>
    <w:rsid w:val="002955AE"/>
    <w:rsid w:val="00295757"/>
    <w:rsid w:val="002959B9"/>
    <w:rsid w:val="002966D9"/>
    <w:rsid w:val="00297744"/>
    <w:rsid w:val="002979DE"/>
    <w:rsid w:val="00297C57"/>
    <w:rsid w:val="002A1B87"/>
    <w:rsid w:val="002A1BFF"/>
    <w:rsid w:val="002A20AB"/>
    <w:rsid w:val="002A34BE"/>
    <w:rsid w:val="002A3CD6"/>
    <w:rsid w:val="002A483D"/>
    <w:rsid w:val="002A4AF6"/>
    <w:rsid w:val="002A614F"/>
    <w:rsid w:val="002B043B"/>
    <w:rsid w:val="002B0741"/>
    <w:rsid w:val="002B1F3A"/>
    <w:rsid w:val="002B2082"/>
    <w:rsid w:val="002B21E7"/>
    <w:rsid w:val="002B377D"/>
    <w:rsid w:val="002B3C74"/>
    <w:rsid w:val="002B4A79"/>
    <w:rsid w:val="002B4C36"/>
    <w:rsid w:val="002B5A05"/>
    <w:rsid w:val="002B60D5"/>
    <w:rsid w:val="002B6B42"/>
    <w:rsid w:val="002B6DD0"/>
    <w:rsid w:val="002C0380"/>
    <w:rsid w:val="002C120F"/>
    <w:rsid w:val="002C16F4"/>
    <w:rsid w:val="002C1932"/>
    <w:rsid w:val="002C25A6"/>
    <w:rsid w:val="002C2735"/>
    <w:rsid w:val="002C274F"/>
    <w:rsid w:val="002C3AF7"/>
    <w:rsid w:val="002C3FA9"/>
    <w:rsid w:val="002C4795"/>
    <w:rsid w:val="002C5AFD"/>
    <w:rsid w:val="002C7171"/>
    <w:rsid w:val="002D01CD"/>
    <w:rsid w:val="002D05F3"/>
    <w:rsid w:val="002D1AF9"/>
    <w:rsid w:val="002D20CB"/>
    <w:rsid w:val="002D568B"/>
    <w:rsid w:val="002D61AD"/>
    <w:rsid w:val="002D624D"/>
    <w:rsid w:val="002D6409"/>
    <w:rsid w:val="002D6FE9"/>
    <w:rsid w:val="002D77E6"/>
    <w:rsid w:val="002D7AC3"/>
    <w:rsid w:val="002E15B5"/>
    <w:rsid w:val="002E208E"/>
    <w:rsid w:val="002E2A2E"/>
    <w:rsid w:val="002E341B"/>
    <w:rsid w:val="002E3703"/>
    <w:rsid w:val="002E45F9"/>
    <w:rsid w:val="002E5535"/>
    <w:rsid w:val="002E5889"/>
    <w:rsid w:val="002E5D38"/>
    <w:rsid w:val="002E60F4"/>
    <w:rsid w:val="002E61DF"/>
    <w:rsid w:val="002F10B2"/>
    <w:rsid w:val="002F1242"/>
    <w:rsid w:val="002F1824"/>
    <w:rsid w:val="002F4A7B"/>
    <w:rsid w:val="002F659E"/>
    <w:rsid w:val="002F6750"/>
    <w:rsid w:val="002F6E53"/>
    <w:rsid w:val="002F7F4F"/>
    <w:rsid w:val="003012D8"/>
    <w:rsid w:val="00302992"/>
    <w:rsid w:val="00302DA5"/>
    <w:rsid w:val="00302E95"/>
    <w:rsid w:val="00302F09"/>
    <w:rsid w:val="00303322"/>
    <w:rsid w:val="0030338E"/>
    <w:rsid w:val="00303F01"/>
    <w:rsid w:val="0030467C"/>
    <w:rsid w:val="0031222C"/>
    <w:rsid w:val="00312253"/>
    <w:rsid w:val="0031330F"/>
    <w:rsid w:val="00313C96"/>
    <w:rsid w:val="00314D25"/>
    <w:rsid w:val="003157DB"/>
    <w:rsid w:val="0031587D"/>
    <w:rsid w:val="003158DC"/>
    <w:rsid w:val="00315DCE"/>
    <w:rsid w:val="00320348"/>
    <w:rsid w:val="00320DBF"/>
    <w:rsid w:val="00320FF6"/>
    <w:rsid w:val="00321D69"/>
    <w:rsid w:val="0032214C"/>
    <w:rsid w:val="00322C87"/>
    <w:rsid w:val="00323166"/>
    <w:rsid w:val="00324FFB"/>
    <w:rsid w:val="00325CD7"/>
    <w:rsid w:val="00326334"/>
    <w:rsid w:val="00326CF2"/>
    <w:rsid w:val="00330614"/>
    <w:rsid w:val="00330B71"/>
    <w:rsid w:val="00331197"/>
    <w:rsid w:val="0033158D"/>
    <w:rsid w:val="00331BB0"/>
    <w:rsid w:val="00333F9F"/>
    <w:rsid w:val="00334C93"/>
    <w:rsid w:val="00335171"/>
    <w:rsid w:val="0033560E"/>
    <w:rsid w:val="0033742F"/>
    <w:rsid w:val="00337549"/>
    <w:rsid w:val="00340089"/>
    <w:rsid w:val="00340B86"/>
    <w:rsid w:val="00341868"/>
    <w:rsid w:val="00341F65"/>
    <w:rsid w:val="00345247"/>
    <w:rsid w:val="00345807"/>
    <w:rsid w:val="00345A55"/>
    <w:rsid w:val="00346511"/>
    <w:rsid w:val="00347ECF"/>
    <w:rsid w:val="0035006B"/>
    <w:rsid w:val="00350378"/>
    <w:rsid w:val="0035065E"/>
    <w:rsid w:val="00351938"/>
    <w:rsid w:val="0035272E"/>
    <w:rsid w:val="00352FC2"/>
    <w:rsid w:val="0035383A"/>
    <w:rsid w:val="00353ACA"/>
    <w:rsid w:val="00354042"/>
    <w:rsid w:val="00354486"/>
    <w:rsid w:val="003545F4"/>
    <w:rsid w:val="00354FF4"/>
    <w:rsid w:val="00355216"/>
    <w:rsid w:val="00356E69"/>
    <w:rsid w:val="0035758D"/>
    <w:rsid w:val="00361242"/>
    <w:rsid w:val="003616E6"/>
    <w:rsid w:val="00362768"/>
    <w:rsid w:val="00362A5F"/>
    <w:rsid w:val="003645E2"/>
    <w:rsid w:val="00364D12"/>
    <w:rsid w:val="00364EEE"/>
    <w:rsid w:val="003664F2"/>
    <w:rsid w:val="00367091"/>
    <w:rsid w:val="003671C9"/>
    <w:rsid w:val="0036770E"/>
    <w:rsid w:val="0036781F"/>
    <w:rsid w:val="003679EE"/>
    <w:rsid w:val="00367D09"/>
    <w:rsid w:val="003701E2"/>
    <w:rsid w:val="00370A69"/>
    <w:rsid w:val="00371A97"/>
    <w:rsid w:val="00373CFA"/>
    <w:rsid w:val="003745F1"/>
    <w:rsid w:val="00374639"/>
    <w:rsid w:val="00374AF9"/>
    <w:rsid w:val="00375203"/>
    <w:rsid w:val="003761FD"/>
    <w:rsid w:val="003770A9"/>
    <w:rsid w:val="00377A13"/>
    <w:rsid w:val="00380537"/>
    <w:rsid w:val="00380D78"/>
    <w:rsid w:val="003813C9"/>
    <w:rsid w:val="00381626"/>
    <w:rsid w:val="00381BD4"/>
    <w:rsid w:val="00382055"/>
    <w:rsid w:val="003825C9"/>
    <w:rsid w:val="00382C51"/>
    <w:rsid w:val="00383280"/>
    <w:rsid w:val="003847E1"/>
    <w:rsid w:val="00384885"/>
    <w:rsid w:val="00386A01"/>
    <w:rsid w:val="0038776D"/>
    <w:rsid w:val="00390234"/>
    <w:rsid w:val="00391042"/>
    <w:rsid w:val="00391AF8"/>
    <w:rsid w:val="003928B2"/>
    <w:rsid w:val="00392CA3"/>
    <w:rsid w:val="003937D6"/>
    <w:rsid w:val="00393BC9"/>
    <w:rsid w:val="003944EF"/>
    <w:rsid w:val="0039552E"/>
    <w:rsid w:val="00396EF7"/>
    <w:rsid w:val="003A07B9"/>
    <w:rsid w:val="003A0B0F"/>
    <w:rsid w:val="003A1161"/>
    <w:rsid w:val="003A1C08"/>
    <w:rsid w:val="003A1FD8"/>
    <w:rsid w:val="003A5019"/>
    <w:rsid w:val="003A504B"/>
    <w:rsid w:val="003A50CC"/>
    <w:rsid w:val="003A5E23"/>
    <w:rsid w:val="003A6727"/>
    <w:rsid w:val="003A6E6C"/>
    <w:rsid w:val="003A738F"/>
    <w:rsid w:val="003A73D8"/>
    <w:rsid w:val="003A7AAC"/>
    <w:rsid w:val="003AB90C"/>
    <w:rsid w:val="003B00E3"/>
    <w:rsid w:val="003B0405"/>
    <w:rsid w:val="003B141F"/>
    <w:rsid w:val="003B1471"/>
    <w:rsid w:val="003B2D76"/>
    <w:rsid w:val="003B43BA"/>
    <w:rsid w:val="003B4DF1"/>
    <w:rsid w:val="003B524B"/>
    <w:rsid w:val="003B5B7F"/>
    <w:rsid w:val="003B5D15"/>
    <w:rsid w:val="003C0EBB"/>
    <w:rsid w:val="003C1B2C"/>
    <w:rsid w:val="003C3466"/>
    <w:rsid w:val="003C4925"/>
    <w:rsid w:val="003C4B97"/>
    <w:rsid w:val="003C5491"/>
    <w:rsid w:val="003C5A98"/>
    <w:rsid w:val="003C6A11"/>
    <w:rsid w:val="003C6D64"/>
    <w:rsid w:val="003C768F"/>
    <w:rsid w:val="003C783A"/>
    <w:rsid w:val="003C79E5"/>
    <w:rsid w:val="003C7E46"/>
    <w:rsid w:val="003D0D88"/>
    <w:rsid w:val="003D2E58"/>
    <w:rsid w:val="003D3962"/>
    <w:rsid w:val="003D537F"/>
    <w:rsid w:val="003D5538"/>
    <w:rsid w:val="003D5595"/>
    <w:rsid w:val="003D597A"/>
    <w:rsid w:val="003D6692"/>
    <w:rsid w:val="003D68AF"/>
    <w:rsid w:val="003D6FED"/>
    <w:rsid w:val="003E09EF"/>
    <w:rsid w:val="003E2362"/>
    <w:rsid w:val="003E2BB6"/>
    <w:rsid w:val="003E4464"/>
    <w:rsid w:val="003E5108"/>
    <w:rsid w:val="003E6313"/>
    <w:rsid w:val="003E7A14"/>
    <w:rsid w:val="003E7BEC"/>
    <w:rsid w:val="003F07B0"/>
    <w:rsid w:val="003F0B57"/>
    <w:rsid w:val="003F28FA"/>
    <w:rsid w:val="003F292C"/>
    <w:rsid w:val="003F3912"/>
    <w:rsid w:val="003F4EF7"/>
    <w:rsid w:val="003F52A6"/>
    <w:rsid w:val="003F5501"/>
    <w:rsid w:val="003F5539"/>
    <w:rsid w:val="003F579D"/>
    <w:rsid w:val="003F5FD7"/>
    <w:rsid w:val="003F67F3"/>
    <w:rsid w:val="003F6E7C"/>
    <w:rsid w:val="003F6FE9"/>
    <w:rsid w:val="003F7821"/>
    <w:rsid w:val="003F7D77"/>
    <w:rsid w:val="003F7E85"/>
    <w:rsid w:val="00401A29"/>
    <w:rsid w:val="00401A62"/>
    <w:rsid w:val="00401C0B"/>
    <w:rsid w:val="004020C4"/>
    <w:rsid w:val="0040288B"/>
    <w:rsid w:val="00402B79"/>
    <w:rsid w:val="00407159"/>
    <w:rsid w:val="00410AA2"/>
    <w:rsid w:val="004114F8"/>
    <w:rsid w:val="004140FF"/>
    <w:rsid w:val="0041450B"/>
    <w:rsid w:val="00414FED"/>
    <w:rsid w:val="00415C5F"/>
    <w:rsid w:val="00416748"/>
    <w:rsid w:val="004174A6"/>
    <w:rsid w:val="00417CAC"/>
    <w:rsid w:val="00417DFC"/>
    <w:rsid w:val="00420340"/>
    <w:rsid w:val="00420605"/>
    <w:rsid w:val="00420F58"/>
    <w:rsid w:val="00423F96"/>
    <w:rsid w:val="00423FF6"/>
    <w:rsid w:val="00424A9B"/>
    <w:rsid w:val="00425220"/>
    <w:rsid w:val="0042545F"/>
    <w:rsid w:val="00425762"/>
    <w:rsid w:val="00426733"/>
    <w:rsid w:val="00426BB1"/>
    <w:rsid w:val="0042770C"/>
    <w:rsid w:val="00427B03"/>
    <w:rsid w:val="004302D3"/>
    <w:rsid w:val="00430811"/>
    <w:rsid w:val="004314F0"/>
    <w:rsid w:val="00431AA6"/>
    <w:rsid w:val="004325E4"/>
    <w:rsid w:val="00432A8C"/>
    <w:rsid w:val="00432B9F"/>
    <w:rsid w:val="004338F3"/>
    <w:rsid w:val="00434AA9"/>
    <w:rsid w:val="00435CF7"/>
    <w:rsid w:val="0043645E"/>
    <w:rsid w:val="0043747C"/>
    <w:rsid w:val="00437AB8"/>
    <w:rsid w:val="00437D7D"/>
    <w:rsid w:val="00440AF6"/>
    <w:rsid w:val="0044107D"/>
    <w:rsid w:val="004410A2"/>
    <w:rsid w:val="0044149D"/>
    <w:rsid w:val="00443421"/>
    <w:rsid w:val="00443BF9"/>
    <w:rsid w:val="00443D58"/>
    <w:rsid w:val="00444AB2"/>
    <w:rsid w:val="0044523F"/>
    <w:rsid w:val="004456DB"/>
    <w:rsid w:val="00445C93"/>
    <w:rsid w:val="00446061"/>
    <w:rsid w:val="00446253"/>
    <w:rsid w:val="004464AC"/>
    <w:rsid w:val="00446E4A"/>
    <w:rsid w:val="0044764F"/>
    <w:rsid w:val="00451331"/>
    <w:rsid w:val="00451CEE"/>
    <w:rsid w:val="004558D8"/>
    <w:rsid w:val="0045656F"/>
    <w:rsid w:val="00456987"/>
    <w:rsid w:val="00456CB9"/>
    <w:rsid w:val="004570E6"/>
    <w:rsid w:val="00457B22"/>
    <w:rsid w:val="00457BFE"/>
    <w:rsid w:val="00457D37"/>
    <w:rsid w:val="004607AE"/>
    <w:rsid w:val="00460852"/>
    <w:rsid w:val="004609EB"/>
    <w:rsid w:val="00461320"/>
    <w:rsid w:val="00462755"/>
    <w:rsid w:val="0046330D"/>
    <w:rsid w:val="00463434"/>
    <w:rsid w:val="004638CB"/>
    <w:rsid w:val="00465AF9"/>
    <w:rsid w:val="00467BC4"/>
    <w:rsid w:val="00467FE0"/>
    <w:rsid w:val="00471883"/>
    <w:rsid w:val="00471D38"/>
    <w:rsid w:val="00471ED4"/>
    <w:rsid w:val="0047328B"/>
    <w:rsid w:val="004743F2"/>
    <w:rsid w:val="0047473A"/>
    <w:rsid w:val="004759D7"/>
    <w:rsid w:val="00475AE9"/>
    <w:rsid w:val="004763E9"/>
    <w:rsid w:val="00476A87"/>
    <w:rsid w:val="00476E6F"/>
    <w:rsid w:val="00477200"/>
    <w:rsid w:val="00477CC7"/>
    <w:rsid w:val="00477D86"/>
    <w:rsid w:val="004807B8"/>
    <w:rsid w:val="004812E0"/>
    <w:rsid w:val="0048147D"/>
    <w:rsid w:val="004814A1"/>
    <w:rsid w:val="00481805"/>
    <w:rsid w:val="00482DDF"/>
    <w:rsid w:val="00483126"/>
    <w:rsid w:val="004840FB"/>
    <w:rsid w:val="0048459F"/>
    <w:rsid w:val="00484D0E"/>
    <w:rsid w:val="00486751"/>
    <w:rsid w:val="0048740D"/>
    <w:rsid w:val="00490A5B"/>
    <w:rsid w:val="00490AAD"/>
    <w:rsid w:val="00490D81"/>
    <w:rsid w:val="0049120A"/>
    <w:rsid w:val="004913E3"/>
    <w:rsid w:val="004917AA"/>
    <w:rsid w:val="00491951"/>
    <w:rsid w:val="00491D1B"/>
    <w:rsid w:val="00492D07"/>
    <w:rsid w:val="00493538"/>
    <w:rsid w:val="00493BD8"/>
    <w:rsid w:val="00494E9D"/>
    <w:rsid w:val="00495C95"/>
    <w:rsid w:val="00497082"/>
    <w:rsid w:val="0049763A"/>
    <w:rsid w:val="004A0851"/>
    <w:rsid w:val="004A106D"/>
    <w:rsid w:val="004A163E"/>
    <w:rsid w:val="004A1C04"/>
    <w:rsid w:val="004A38C3"/>
    <w:rsid w:val="004A406A"/>
    <w:rsid w:val="004A418D"/>
    <w:rsid w:val="004A44A8"/>
    <w:rsid w:val="004A4726"/>
    <w:rsid w:val="004A4980"/>
    <w:rsid w:val="004A5739"/>
    <w:rsid w:val="004A63C5"/>
    <w:rsid w:val="004B0340"/>
    <w:rsid w:val="004B0E2F"/>
    <w:rsid w:val="004B1341"/>
    <w:rsid w:val="004B1DF7"/>
    <w:rsid w:val="004B25B5"/>
    <w:rsid w:val="004B25CE"/>
    <w:rsid w:val="004B2876"/>
    <w:rsid w:val="004B3E8F"/>
    <w:rsid w:val="004B4137"/>
    <w:rsid w:val="004B579B"/>
    <w:rsid w:val="004B5CEA"/>
    <w:rsid w:val="004B6014"/>
    <w:rsid w:val="004B633C"/>
    <w:rsid w:val="004B657A"/>
    <w:rsid w:val="004B6D0E"/>
    <w:rsid w:val="004B6FB1"/>
    <w:rsid w:val="004B77CC"/>
    <w:rsid w:val="004C1ED7"/>
    <w:rsid w:val="004C28B0"/>
    <w:rsid w:val="004C384F"/>
    <w:rsid w:val="004C416D"/>
    <w:rsid w:val="004C47BB"/>
    <w:rsid w:val="004C4D5E"/>
    <w:rsid w:val="004C55D3"/>
    <w:rsid w:val="004C69D1"/>
    <w:rsid w:val="004C7AE2"/>
    <w:rsid w:val="004D11A7"/>
    <w:rsid w:val="004D225E"/>
    <w:rsid w:val="004D27DE"/>
    <w:rsid w:val="004D2860"/>
    <w:rsid w:val="004D2901"/>
    <w:rsid w:val="004D33E5"/>
    <w:rsid w:val="004D467A"/>
    <w:rsid w:val="004D6442"/>
    <w:rsid w:val="004D6BFD"/>
    <w:rsid w:val="004D7B25"/>
    <w:rsid w:val="004E16A5"/>
    <w:rsid w:val="004E3317"/>
    <w:rsid w:val="004E43A3"/>
    <w:rsid w:val="004E5828"/>
    <w:rsid w:val="004E5A32"/>
    <w:rsid w:val="004E5DB4"/>
    <w:rsid w:val="004E7AEE"/>
    <w:rsid w:val="004F0142"/>
    <w:rsid w:val="004F0781"/>
    <w:rsid w:val="004F0C8F"/>
    <w:rsid w:val="004F1591"/>
    <w:rsid w:val="004F1F0D"/>
    <w:rsid w:val="004F1F0E"/>
    <w:rsid w:val="004F3305"/>
    <w:rsid w:val="004F4416"/>
    <w:rsid w:val="004F4ADA"/>
    <w:rsid w:val="004F6923"/>
    <w:rsid w:val="004F6E4B"/>
    <w:rsid w:val="004F7B76"/>
    <w:rsid w:val="00500BB2"/>
    <w:rsid w:val="00500F40"/>
    <w:rsid w:val="00501198"/>
    <w:rsid w:val="0050196D"/>
    <w:rsid w:val="005027CD"/>
    <w:rsid w:val="005042C2"/>
    <w:rsid w:val="005048C1"/>
    <w:rsid w:val="005048F8"/>
    <w:rsid w:val="00504E45"/>
    <w:rsid w:val="005050A2"/>
    <w:rsid w:val="00507E3C"/>
    <w:rsid w:val="005101A5"/>
    <w:rsid w:val="00510D92"/>
    <w:rsid w:val="00511A31"/>
    <w:rsid w:val="00511DC7"/>
    <w:rsid w:val="0051299E"/>
    <w:rsid w:val="005143BE"/>
    <w:rsid w:val="00514644"/>
    <w:rsid w:val="00514CB4"/>
    <w:rsid w:val="00514E14"/>
    <w:rsid w:val="005153C6"/>
    <w:rsid w:val="00516C09"/>
    <w:rsid w:val="00517164"/>
    <w:rsid w:val="005174DA"/>
    <w:rsid w:val="0051791D"/>
    <w:rsid w:val="00517B06"/>
    <w:rsid w:val="00520C25"/>
    <w:rsid w:val="00521170"/>
    <w:rsid w:val="00522539"/>
    <w:rsid w:val="0052291F"/>
    <w:rsid w:val="00522F55"/>
    <w:rsid w:val="00523159"/>
    <w:rsid w:val="005234BE"/>
    <w:rsid w:val="005236EE"/>
    <w:rsid w:val="005238D0"/>
    <w:rsid w:val="0052555E"/>
    <w:rsid w:val="00526EF6"/>
    <w:rsid w:val="005270BF"/>
    <w:rsid w:val="005275AA"/>
    <w:rsid w:val="00530F69"/>
    <w:rsid w:val="00532460"/>
    <w:rsid w:val="0053389B"/>
    <w:rsid w:val="00533A92"/>
    <w:rsid w:val="00534A1A"/>
    <w:rsid w:val="00535F2B"/>
    <w:rsid w:val="005361A0"/>
    <w:rsid w:val="00536814"/>
    <w:rsid w:val="00536E39"/>
    <w:rsid w:val="00537036"/>
    <w:rsid w:val="00541764"/>
    <w:rsid w:val="00541E6E"/>
    <w:rsid w:val="00542E2D"/>
    <w:rsid w:val="00542EF7"/>
    <w:rsid w:val="00544975"/>
    <w:rsid w:val="00544A4D"/>
    <w:rsid w:val="0054539B"/>
    <w:rsid w:val="0054573E"/>
    <w:rsid w:val="00545D99"/>
    <w:rsid w:val="00546CDE"/>
    <w:rsid w:val="00550954"/>
    <w:rsid w:val="00550CE6"/>
    <w:rsid w:val="00551EED"/>
    <w:rsid w:val="00552E43"/>
    <w:rsid w:val="00553196"/>
    <w:rsid w:val="005538EB"/>
    <w:rsid w:val="005539A7"/>
    <w:rsid w:val="00553DAD"/>
    <w:rsid w:val="00553EC8"/>
    <w:rsid w:val="00553F0C"/>
    <w:rsid w:val="00556616"/>
    <w:rsid w:val="00556B45"/>
    <w:rsid w:val="00556DEF"/>
    <w:rsid w:val="0055790A"/>
    <w:rsid w:val="00557C2E"/>
    <w:rsid w:val="00557E95"/>
    <w:rsid w:val="0056054E"/>
    <w:rsid w:val="005613F3"/>
    <w:rsid w:val="00562B1B"/>
    <w:rsid w:val="0056321D"/>
    <w:rsid w:val="00563FB9"/>
    <w:rsid w:val="00565B81"/>
    <w:rsid w:val="00567348"/>
    <w:rsid w:val="0056784F"/>
    <w:rsid w:val="0057004C"/>
    <w:rsid w:val="0057148B"/>
    <w:rsid w:val="00571C07"/>
    <w:rsid w:val="005720DB"/>
    <w:rsid w:val="0057279C"/>
    <w:rsid w:val="00574A31"/>
    <w:rsid w:val="00574DA6"/>
    <w:rsid w:val="005756D0"/>
    <w:rsid w:val="00576CA0"/>
    <w:rsid w:val="00577800"/>
    <w:rsid w:val="00581589"/>
    <w:rsid w:val="0058172E"/>
    <w:rsid w:val="00581B06"/>
    <w:rsid w:val="00581E29"/>
    <w:rsid w:val="00582AE7"/>
    <w:rsid w:val="00582FFF"/>
    <w:rsid w:val="00583A88"/>
    <w:rsid w:val="00583E3D"/>
    <w:rsid w:val="0058461D"/>
    <w:rsid w:val="005859F3"/>
    <w:rsid w:val="00585FB1"/>
    <w:rsid w:val="00586194"/>
    <w:rsid w:val="00586627"/>
    <w:rsid w:val="00587665"/>
    <w:rsid w:val="00590928"/>
    <w:rsid w:val="00590D10"/>
    <w:rsid w:val="005916EB"/>
    <w:rsid w:val="00592FAB"/>
    <w:rsid w:val="00595788"/>
    <w:rsid w:val="00595DFF"/>
    <w:rsid w:val="005962CA"/>
    <w:rsid w:val="00597AC1"/>
    <w:rsid w:val="00597FA8"/>
    <w:rsid w:val="005A10D0"/>
    <w:rsid w:val="005A1388"/>
    <w:rsid w:val="005A1A94"/>
    <w:rsid w:val="005A2478"/>
    <w:rsid w:val="005A2608"/>
    <w:rsid w:val="005A2660"/>
    <w:rsid w:val="005A36AA"/>
    <w:rsid w:val="005A47B9"/>
    <w:rsid w:val="005A76E2"/>
    <w:rsid w:val="005A7BB0"/>
    <w:rsid w:val="005A7D6F"/>
    <w:rsid w:val="005B0D35"/>
    <w:rsid w:val="005B143D"/>
    <w:rsid w:val="005B266C"/>
    <w:rsid w:val="005B2AE9"/>
    <w:rsid w:val="005B2EA0"/>
    <w:rsid w:val="005B3392"/>
    <w:rsid w:val="005B3AB4"/>
    <w:rsid w:val="005B4533"/>
    <w:rsid w:val="005B4A5B"/>
    <w:rsid w:val="005B5FD5"/>
    <w:rsid w:val="005B66B5"/>
    <w:rsid w:val="005B7C34"/>
    <w:rsid w:val="005B7EE3"/>
    <w:rsid w:val="005C0E21"/>
    <w:rsid w:val="005C11B5"/>
    <w:rsid w:val="005C2FC5"/>
    <w:rsid w:val="005C3E49"/>
    <w:rsid w:val="005C6324"/>
    <w:rsid w:val="005C63EB"/>
    <w:rsid w:val="005C6DA9"/>
    <w:rsid w:val="005C71C4"/>
    <w:rsid w:val="005C74F4"/>
    <w:rsid w:val="005D132E"/>
    <w:rsid w:val="005D14CE"/>
    <w:rsid w:val="005D2244"/>
    <w:rsid w:val="005D2C5E"/>
    <w:rsid w:val="005D3166"/>
    <w:rsid w:val="005D3554"/>
    <w:rsid w:val="005D4126"/>
    <w:rsid w:val="005D427B"/>
    <w:rsid w:val="005D43E3"/>
    <w:rsid w:val="005D45BA"/>
    <w:rsid w:val="005D4C7F"/>
    <w:rsid w:val="005D541B"/>
    <w:rsid w:val="005D5640"/>
    <w:rsid w:val="005D57B9"/>
    <w:rsid w:val="005D66CD"/>
    <w:rsid w:val="005D6B48"/>
    <w:rsid w:val="005E01CE"/>
    <w:rsid w:val="005E0AF6"/>
    <w:rsid w:val="005E1EA3"/>
    <w:rsid w:val="005E2347"/>
    <w:rsid w:val="005E292E"/>
    <w:rsid w:val="005E2B5F"/>
    <w:rsid w:val="005E37B7"/>
    <w:rsid w:val="005E4A2A"/>
    <w:rsid w:val="005E4F38"/>
    <w:rsid w:val="005E5142"/>
    <w:rsid w:val="005E61AD"/>
    <w:rsid w:val="005E6445"/>
    <w:rsid w:val="005E6ACA"/>
    <w:rsid w:val="005E70DB"/>
    <w:rsid w:val="005E7EE2"/>
    <w:rsid w:val="005F23A5"/>
    <w:rsid w:val="005F38D1"/>
    <w:rsid w:val="005F47EF"/>
    <w:rsid w:val="005F4E8A"/>
    <w:rsid w:val="005F5BED"/>
    <w:rsid w:val="005F7738"/>
    <w:rsid w:val="005F7DC9"/>
    <w:rsid w:val="005F7EA9"/>
    <w:rsid w:val="005F7EB4"/>
    <w:rsid w:val="0060332F"/>
    <w:rsid w:val="0060343D"/>
    <w:rsid w:val="0060437B"/>
    <w:rsid w:val="00604410"/>
    <w:rsid w:val="00604971"/>
    <w:rsid w:val="00604EF9"/>
    <w:rsid w:val="00604F00"/>
    <w:rsid w:val="00606048"/>
    <w:rsid w:val="006062BE"/>
    <w:rsid w:val="006076F9"/>
    <w:rsid w:val="00607BCE"/>
    <w:rsid w:val="00610638"/>
    <w:rsid w:val="00612AE4"/>
    <w:rsid w:val="00613BC9"/>
    <w:rsid w:val="00613C51"/>
    <w:rsid w:val="006142B8"/>
    <w:rsid w:val="00614346"/>
    <w:rsid w:val="00614961"/>
    <w:rsid w:val="00614F37"/>
    <w:rsid w:val="0061657B"/>
    <w:rsid w:val="00616F4D"/>
    <w:rsid w:val="00617173"/>
    <w:rsid w:val="0062046B"/>
    <w:rsid w:val="0062134F"/>
    <w:rsid w:val="00621CE5"/>
    <w:rsid w:val="00622C60"/>
    <w:rsid w:val="00622D32"/>
    <w:rsid w:val="0062366C"/>
    <w:rsid w:val="00623D40"/>
    <w:rsid w:val="0062414A"/>
    <w:rsid w:val="00624344"/>
    <w:rsid w:val="00624FD0"/>
    <w:rsid w:val="006251BE"/>
    <w:rsid w:val="00625273"/>
    <w:rsid w:val="006256A6"/>
    <w:rsid w:val="00625A78"/>
    <w:rsid w:val="00626240"/>
    <w:rsid w:val="0062696F"/>
    <w:rsid w:val="00626E3D"/>
    <w:rsid w:val="0062756E"/>
    <w:rsid w:val="006300E1"/>
    <w:rsid w:val="0063081D"/>
    <w:rsid w:val="00630D8B"/>
    <w:rsid w:val="00631632"/>
    <w:rsid w:val="00631BAE"/>
    <w:rsid w:val="00631C33"/>
    <w:rsid w:val="00632B82"/>
    <w:rsid w:val="00633536"/>
    <w:rsid w:val="00633A53"/>
    <w:rsid w:val="006368DF"/>
    <w:rsid w:val="006369B4"/>
    <w:rsid w:val="00640768"/>
    <w:rsid w:val="006416AC"/>
    <w:rsid w:val="00641DB0"/>
    <w:rsid w:val="0064225B"/>
    <w:rsid w:val="006430DE"/>
    <w:rsid w:val="006432A2"/>
    <w:rsid w:val="00643CE9"/>
    <w:rsid w:val="00644517"/>
    <w:rsid w:val="0064501C"/>
    <w:rsid w:val="006457D3"/>
    <w:rsid w:val="00645D0B"/>
    <w:rsid w:val="006520F3"/>
    <w:rsid w:val="006547C6"/>
    <w:rsid w:val="00654809"/>
    <w:rsid w:val="006561AC"/>
    <w:rsid w:val="006567B9"/>
    <w:rsid w:val="006577FB"/>
    <w:rsid w:val="00660236"/>
    <w:rsid w:val="00661543"/>
    <w:rsid w:val="00661EF9"/>
    <w:rsid w:val="00662559"/>
    <w:rsid w:val="00663091"/>
    <w:rsid w:val="006631AA"/>
    <w:rsid w:val="006644F8"/>
    <w:rsid w:val="0066473E"/>
    <w:rsid w:val="0066618B"/>
    <w:rsid w:val="00666D18"/>
    <w:rsid w:val="006675D9"/>
    <w:rsid w:val="006701E9"/>
    <w:rsid w:val="00670F24"/>
    <w:rsid w:val="00671894"/>
    <w:rsid w:val="00671A6D"/>
    <w:rsid w:val="00672FC6"/>
    <w:rsid w:val="00673724"/>
    <w:rsid w:val="00673B73"/>
    <w:rsid w:val="00674CB0"/>
    <w:rsid w:val="00674EAC"/>
    <w:rsid w:val="006759D5"/>
    <w:rsid w:val="00675D9A"/>
    <w:rsid w:val="00676031"/>
    <w:rsid w:val="0067637A"/>
    <w:rsid w:val="00677B78"/>
    <w:rsid w:val="006813EE"/>
    <w:rsid w:val="00684DCC"/>
    <w:rsid w:val="00686271"/>
    <w:rsid w:val="00686FE4"/>
    <w:rsid w:val="0069019C"/>
    <w:rsid w:val="00690657"/>
    <w:rsid w:val="00690E16"/>
    <w:rsid w:val="006912DD"/>
    <w:rsid w:val="0069168C"/>
    <w:rsid w:val="00691852"/>
    <w:rsid w:val="006926C8"/>
    <w:rsid w:val="00692832"/>
    <w:rsid w:val="00693F21"/>
    <w:rsid w:val="0069423D"/>
    <w:rsid w:val="00694FD2"/>
    <w:rsid w:val="00695864"/>
    <w:rsid w:val="00695F54"/>
    <w:rsid w:val="00697A03"/>
    <w:rsid w:val="006A075B"/>
    <w:rsid w:val="006A15C5"/>
    <w:rsid w:val="006A175A"/>
    <w:rsid w:val="006A5407"/>
    <w:rsid w:val="006A5AA3"/>
    <w:rsid w:val="006A5B5A"/>
    <w:rsid w:val="006A5C2A"/>
    <w:rsid w:val="006A7175"/>
    <w:rsid w:val="006A7AF3"/>
    <w:rsid w:val="006B031A"/>
    <w:rsid w:val="006B0FB2"/>
    <w:rsid w:val="006B3012"/>
    <w:rsid w:val="006B30B5"/>
    <w:rsid w:val="006B56B2"/>
    <w:rsid w:val="006B56D8"/>
    <w:rsid w:val="006B7DB4"/>
    <w:rsid w:val="006C08D8"/>
    <w:rsid w:val="006C094F"/>
    <w:rsid w:val="006C0CB4"/>
    <w:rsid w:val="006C142F"/>
    <w:rsid w:val="006C1669"/>
    <w:rsid w:val="006C448C"/>
    <w:rsid w:val="006C5693"/>
    <w:rsid w:val="006C5E04"/>
    <w:rsid w:val="006C6459"/>
    <w:rsid w:val="006C6D16"/>
    <w:rsid w:val="006C70D5"/>
    <w:rsid w:val="006C7EDA"/>
    <w:rsid w:val="006D0077"/>
    <w:rsid w:val="006D01DD"/>
    <w:rsid w:val="006D09A0"/>
    <w:rsid w:val="006D0B77"/>
    <w:rsid w:val="006D15C0"/>
    <w:rsid w:val="006D181D"/>
    <w:rsid w:val="006D1C06"/>
    <w:rsid w:val="006D284D"/>
    <w:rsid w:val="006D2C1D"/>
    <w:rsid w:val="006D3D66"/>
    <w:rsid w:val="006D48F0"/>
    <w:rsid w:val="006D4E88"/>
    <w:rsid w:val="006D57BE"/>
    <w:rsid w:val="006D65A4"/>
    <w:rsid w:val="006D6DF1"/>
    <w:rsid w:val="006E0138"/>
    <w:rsid w:val="006E015B"/>
    <w:rsid w:val="006E105F"/>
    <w:rsid w:val="006E1C21"/>
    <w:rsid w:val="006E32CB"/>
    <w:rsid w:val="006E32FA"/>
    <w:rsid w:val="006E343E"/>
    <w:rsid w:val="006E433F"/>
    <w:rsid w:val="006E5168"/>
    <w:rsid w:val="006E5224"/>
    <w:rsid w:val="006E5EBC"/>
    <w:rsid w:val="006E612E"/>
    <w:rsid w:val="006E6840"/>
    <w:rsid w:val="006E6CE4"/>
    <w:rsid w:val="006E6D51"/>
    <w:rsid w:val="006E73ED"/>
    <w:rsid w:val="006F0967"/>
    <w:rsid w:val="006F11A6"/>
    <w:rsid w:val="006F138D"/>
    <w:rsid w:val="006F1557"/>
    <w:rsid w:val="006F1D61"/>
    <w:rsid w:val="006F2C08"/>
    <w:rsid w:val="006F3062"/>
    <w:rsid w:val="006F30F2"/>
    <w:rsid w:val="006F41C1"/>
    <w:rsid w:val="00700704"/>
    <w:rsid w:val="00701FFA"/>
    <w:rsid w:val="007028ED"/>
    <w:rsid w:val="00702B4B"/>
    <w:rsid w:val="007037BD"/>
    <w:rsid w:val="00704051"/>
    <w:rsid w:val="00704EC3"/>
    <w:rsid w:val="007054DC"/>
    <w:rsid w:val="007101CD"/>
    <w:rsid w:val="007102CB"/>
    <w:rsid w:val="0071030B"/>
    <w:rsid w:val="00710B14"/>
    <w:rsid w:val="00711014"/>
    <w:rsid w:val="0071163B"/>
    <w:rsid w:val="007118A6"/>
    <w:rsid w:val="00712610"/>
    <w:rsid w:val="0071333A"/>
    <w:rsid w:val="007133FD"/>
    <w:rsid w:val="007158B9"/>
    <w:rsid w:val="00715BCD"/>
    <w:rsid w:val="00716349"/>
    <w:rsid w:val="00717294"/>
    <w:rsid w:val="007174A0"/>
    <w:rsid w:val="0071751C"/>
    <w:rsid w:val="00717784"/>
    <w:rsid w:val="00717AFC"/>
    <w:rsid w:val="00720015"/>
    <w:rsid w:val="00720AF8"/>
    <w:rsid w:val="00720C2F"/>
    <w:rsid w:val="00720EC5"/>
    <w:rsid w:val="00721042"/>
    <w:rsid w:val="007225EB"/>
    <w:rsid w:val="0072318F"/>
    <w:rsid w:val="0072378A"/>
    <w:rsid w:val="00723F20"/>
    <w:rsid w:val="00724777"/>
    <w:rsid w:val="00724B39"/>
    <w:rsid w:val="00724DDE"/>
    <w:rsid w:val="007251DF"/>
    <w:rsid w:val="00727B24"/>
    <w:rsid w:val="0073175A"/>
    <w:rsid w:val="00732FBC"/>
    <w:rsid w:val="00733414"/>
    <w:rsid w:val="00733CDD"/>
    <w:rsid w:val="00733FEE"/>
    <w:rsid w:val="00734BB8"/>
    <w:rsid w:val="00735375"/>
    <w:rsid w:val="00735B77"/>
    <w:rsid w:val="00736237"/>
    <w:rsid w:val="00737C94"/>
    <w:rsid w:val="00740265"/>
    <w:rsid w:val="007403C3"/>
    <w:rsid w:val="00741549"/>
    <w:rsid w:val="00741D1D"/>
    <w:rsid w:val="00741FBE"/>
    <w:rsid w:val="007430EB"/>
    <w:rsid w:val="007449DA"/>
    <w:rsid w:val="00744BEC"/>
    <w:rsid w:val="00744DAF"/>
    <w:rsid w:val="007454CB"/>
    <w:rsid w:val="00745715"/>
    <w:rsid w:val="00745EDA"/>
    <w:rsid w:val="00746C34"/>
    <w:rsid w:val="0074720F"/>
    <w:rsid w:val="00747CF4"/>
    <w:rsid w:val="007503D0"/>
    <w:rsid w:val="0075203C"/>
    <w:rsid w:val="007521D8"/>
    <w:rsid w:val="00753A2D"/>
    <w:rsid w:val="00753B7A"/>
    <w:rsid w:val="00755C4B"/>
    <w:rsid w:val="00757708"/>
    <w:rsid w:val="007609FA"/>
    <w:rsid w:val="00761CA7"/>
    <w:rsid w:val="00761EA2"/>
    <w:rsid w:val="0076442E"/>
    <w:rsid w:val="007648C0"/>
    <w:rsid w:val="00764ACC"/>
    <w:rsid w:val="00765304"/>
    <w:rsid w:val="0076556F"/>
    <w:rsid w:val="00767BA5"/>
    <w:rsid w:val="00770443"/>
    <w:rsid w:val="00770606"/>
    <w:rsid w:val="00771CA5"/>
    <w:rsid w:val="007722C0"/>
    <w:rsid w:val="007729B5"/>
    <w:rsid w:val="00773464"/>
    <w:rsid w:val="007735A2"/>
    <w:rsid w:val="00773C44"/>
    <w:rsid w:val="00773D08"/>
    <w:rsid w:val="00776478"/>
    <w:rsid w:val="00776665"/>
    <w:rsid w:val="0077688D"/>
    <w:rsid w:val="00777573"/>
    <w:rsid w:val="00780441"/>
    <w:rsid w:val="00781461"/>
    <w:rsid w:val="00781499"/>
    <w:rsid w:val="007819E7"/>
    <w:rsid w:val="00783319"/>
    <w:rsid w:val="00783B1F"/>
    <w:rsid w:val="0078455B"/>
    <w:rsid w:val="00785FC7"/>
    <w:rsid w:val="007866B0"/>
    <w:rsid w:val="00786780"/>
    <w:rsid w:val="00786B62"/>
    <w:rsid w:val="00786BD7"/>
    <w:rsid w:val="00786EC8"/>
    <w:rsid w:val="00787A8A"/>
    <w:rsid w:val="007910B3"/>
    <w:rsid w:val="007913D0"/>
    <w:rsid w:val="00791D3B"/>
    <w:rsid w:val="00793C40"/>
    <w:rsid w:val="0079426E"/>
    <w:rsid w:val="007947D6"/>
    <w:rsid w:val="00795032"/>
    <w:rsid w:val="00796291"/>
    <w:rsid w:val="00796A86"/>
    <w:rsid w:val="0079771F"/>
    <w:rsid w:val="00797ADA"/>
    <w:rsid w:val="00797F66"/>
    <w:rsid w:val="007A00DB"/>
    <w:rsid w:val="007A05D9"/>
    <w:rsid w:val="007A08BA"/>
    <w:rsid w:val="007A24AF"/>
    <w:rsid w:val="007A4864"/>
    <w:rsid w:val="007A4E16"/>
    <w:rsid w:val="007A5449"/>
    <w:rsid w:val="007A5B11"/>
    <w:rsid w:val="007A5E3A"/>
    <w:rsid w:val="007A6257"/>
    <w:rsid w:val="007A6661"/>
    <w:rsid w:val="007A7083"/>
    <w:rsid w:val="007A7177"/>
    <w:rsid w:val="007A7E34"/>
    <w:rsid w:val="007B0280"/>
    <w:rsid w:val="007B063F"/>
    <w:rsid w:val="007B0F04"/>
    <w:rsid w:val="007B1328"/>
    <w:rsid w:val="007B16A0"/>
    <w:rsid w:val="007B21D1"/>
    <w:rsid w:val="007B2EC4"/>
    <w:rsid w:val="007B4209"/>
    <w:rsid w:val="007B6324"/>
    <w:rsid w:val="007B6C61"/>
    <w:rsid w:val="007B72D0"/>
    <w:rsid w:val="007C0C1E"/>
    <w:rsid w:val="007C1642"/>
    <w:rsid w:val="007C3C7C"/>
    <w:rsid w:val="007C4352"/>
    <w:rsid w:val="007C4CD7"/>
    <w:rsid w:val="007C4F00"/>
    <w:rsid w:val="007C54BA"/>
    <w:rsid w:val="007C668E"/>
    <w:rsid w:val="007C6F7B"/>
    <w:rsid w:val="007C7F43"/>
    <w:rsid w:val="007D07CD"/>
    <w:rsid w:val="007D09F4"/>
    <w:rsid w:val="007D0F7D"/>
    <w:rsid w:val="007D258C"/>
    <w:rsid w:val="007D2627"/>
    <w:rsid w:val="007D2A4A"/>
    <w:rsid w:val="007D4F39"/>
    <w:rsid w:val="007D65BD"/>
    <w:rsid w:val="007D68F6"/>
    <w:rsid w:val="007D6DE1"/>
    <w:rsid w:val="007D7571"/>
    <w:rsid w:val="007D7E92"/>
    <w:rsid w:val="007E1CAB"/>
    <w:rsid w:val="007E245E"/>
    <w:rsid w:val="007E2E67"/>
    <w:rsid w:val="007E3617"/>
    <w:rsid w:val="007E4162"/>
    <w:rsid w:val="007E53C9"/>
    <w:rsid w:val="007E56C5"/>
    <w:rsid w:val="007E5707"/>
    <w:rsid w:val="007E5F1D"/>
    <w:rsid w:val="007E6D13"/>
    <w:rsid w:val="007E74E5"/>
    <w:rsid w:val="007E7B38"/>
    <w:rsid w:val="007F02A5"/>
    <w:rsid w:val="007F1282"/>
    <w:rsid w:val="007F2689"/>
    <w:rsid w:val="007F2825"/>
    <w:rsid w:val="007F3B73"/>
    <w:rsid w:val="007F4954"/>
    <w:rsid w:val="007F5650"/>
    <w:rsid w:val="007F5B8B"/>
    <w:rsid w:val="007F6546"/>
    <w:rsid w:val="007F6B2E"/>
    <w:rsid w:val="007F7852"/>
    <w:rsid w:val="00800063"/>
    <w:rsid w:val="00800856"/>
    <w:rsid w:val="00801612"/>
    <w:rsid w:val="008027FD"/>
    <w:rsid w:val="00802C61"/>
    <w:rsid w:val="008042F3"/>
    <w:rsid w:val="00804385"/>
    <w:rsid w:val="008044CA"/>
    <w:rsid w:val="008061A4"/>
    <w:rsid w:val="00807815"/>
    <w:rsid w:val="008102EB"/>
    <w:rsid w:val="008111F2"/>
    <w:rsid w:val="0081132E"/>
    <w:rsid w:val="00812597"/>
    <w:rsid w:val="00812F14"/>
    <w:rsid w:val="00814108"/>
    <w:rsid w:val="0081439E"/>
    <w:rsid w:val="008150BA"/>
    <w:rsid w:val="0081535D"/>
    <w:rsid w:val="0081563E"/>
    <w:rsid w:val="0081620A"/>
    <w:rsid w:val="0081643A"/>
    <w:rsid w:val="00817DBC"/>
    <w:rsid w:val="00817F87"/>
    <w:rsid w:val="00820A25"/>
    <w:rsid w:val="008214E3"/>
    <w:rsid w:val="0082152C"/>
    <w:rsid w:val="008218DF"/>
    <w:rsid w:val="00824434"/>
    <w:rsid w:val="008253A3"/>
    <w:rsid w:val="008256F9"/>
    <w:rsid w:val="00826631"/>
    <w:rsid w:val="00826E0A"/>
    <w:rsid w:val="00826E4B"/>
    <w:rsid w:val="0082746C"/>
    <w:rsid w:val="0083006E"/>
    <w:rsid w:val="008302D9"/>
    <w:rsid w:val="00830B04"/>
    <w:rsid w:val="00830B64"/>
    <w:rsid w:val="00830D34"/>
    <w:rsid w:val="0083104D"/>
    <w:rsid w:val="00831682"/>
    <w:rsid w:val="00833CDA"/>
    <w:rsid w:val="00834D9E"/>
    <w:rsid w:val="008351B2"/>
    <w:rsid w:val="0083543D"/>
    <w:rsid w:val="00835518"/>
    <w:rsid w:val="00836B4B"/>
    <w:rsid w:val="008372A8"/>
    <w:rsid w:val="00840022"/>
    <w:rsid w:val="00840028"/>
    <w:rsid w:val="00840514"/>
    <w:rsid w:val="00842F0D"/>
    <w:rsid w:val="0084349F"/>
    <w:rsid w:val="00843601"/>
    <w:rsid w:val="008436DB"/>
    <w:rsid w:val="008439C9"/>
    <w:rsid w:val="00844477"/>
    <w:rsid w:val="00844ACD"/>
    <w:rsid w:val="00844C8B"/>
    <w:rsid w:val="008452E8"/>
    <w:rsid w:val="0084661B"/>
    <w:rsid w:val="008469D6"/>
    <w:rsid w:val="008475F3"/>
    <w:rsid w:val="00847896"/>
    <w:rsid w:val="00850212"/>
    <w:rsid w:val="0085265B"/>
    <w:rsid w:val="008532DB"/>
    <w:rsid w:val="008546DC"/>
    <w:rsid w:val="00855CBE"/>
    <w:rsid w:val="008560D7"/>
    <w:rsid w:val="00856218"/>
    <w:rsid w:val="0085628A"/>
    <w:rsid w:val="0085693B"/>
    <w:rsid w:val="00857D1D"/>
    <w:rsid w:val="008616AF"/>
    <w:rsid w:val="00861910"/>
    <w:rsid w:val="0086215F"/>
    <w:rsid w:val="0086304F"/>
    <w:rsid w:val="00863400"/>
    <w:rsid w:val="008637C5"/>
    <w:rsid w:val="008638D2"/>
    <w:rsid w:val="00863C85"/>
    <w:rsid w:val="00864295"/>
    <w:rsid w:val="00864BE0"/>
    <w:rsid w:val="00864D0C"/>
    <w:rsid w:val="008652E3"/>
    <w:rsid w:val="00865375"/>
    <w:rsid w:val="008658F6"/>
    <w:rsid w:val="0086642B"/>
    <w:rsid w:val="008664B9"/>
    <w:rsid w:val="00866F85"/>
    <w:rsid w:val="00867E45"/>
    <w:rsid w:val="00870F56"/>
    <w:rsid w:val="008713F2"/>
    <w:rsid w:val="00872085"/>
    <w:rsid w:val="0087233B"/>
    <w:rsid w:val="00873CCA"/>
    <w:rsid w:val="0087401A"/>
    <w:rsid w:val="00875FBF"/>
    <w:rsid w:val="00876FE6"/>
    <w:rsid w:val="00877460"/>
    <w:rsid w:val="0087764D"/>
    <w:rsid w:val="008778B1"/>
    <w:rsid w:val="00877B15"/>
    <w:rsid w:val="0088049C"/>
    <w:rsid w:val="008825A7"/>
    <w:rsid w:val="00882ED0"/>
    <w:rsid w:val="008841E5"/>
    <w:rsid w:val="0088434E"/>
    <w:rsid w:val="0088502B"/>
    <w:rsid w:val="00885064"/>
    <w:rsid w:val="0088513E"/>
    <w:rsid w:val="008855A5"/>
    <w:rsid w:val="00886057"/>
    <w:rsid w:val="008900C0"/>
    <w:rsid w:val="00890BDA"/>
    <w:rsid w:val="00890DBA"/>
    <w:rsid w:val="00891E2C"/>
    <w:rsid w:val="00892A83"/>
    <w:rsid w:val="00895150"/>
    <w:rsid w:val="00895B7B"/>
    <w:rsid w:val="00896EAF"/>
    <w:rsid w:val="008978C5"/>
    <w:rsid w:val="008A0BBE"/>
    <w:rsid w:val="008A1A32"/>
    <w:rsid w:val="008A2122"/>
    <w:rsid w:val="008A3C24"/>
    <w:rsid w:val="008A533C"/>
    <w:rsid w:val="008A5671"/>
    <w:rsid w:val="008A579E"/>
    <w:rsid w:val="008A62BD"/>
    <w:rsid w:val="008A6650"/>
    <w:rsid w:val="008A6E47"/>
    <w:rsid w:val="008B1A75"/>
    <w:rsid w:val="008B32E7"/>
    <w:rsid w:val="008B3D54"/>
    <w:rsid w:val="008B3F36"/>
    <w:rsid w:val="008B4DCB"/>
    <w:rsid w:val="008B5BCB"/>
    <w:rsid w:val="008B5DB2"/>
    <w:rsid w:val="008B6855"/>
    <w:rsid w:val="008B799E"/>
    <w:rsid w:val="008C0602"/>
    <w:rsid w:val="008C0B7F"/>
    <w:rsid w:val="008C1BA9"/>
    <w:rsid w:val="008C1E49"/>
    <w:rsid w:val="008C259E"/>
    <w:rsid w:val="008C2C5D"/>
    <w:rsid w:val="008C2FEE"/>
    <w:rsid w:val="008C4AFF"/>
    <w:rsid w:val="008C5076"/>
    <w:rsid w:val="008C5F9D"/>
    <w:rsid w:val="008C6238"/>
    <w:rsid w:val="008C722E"/>
    <w:rsid w:val="008C7268"/>
    <w:rsid w:val="008C79E1"/>
    <w:rsid w:val="008D04DD"/>
    <w:rsid w:val="008D1326"/>
    <w:rsid w:val="008D1DB2"/>
    <w:rsid w:val="008D248A"/>
    <w:rsid w:val="008D4E62"/>
    <w:rsid w:val="008D692F"/>
    <w:rsid w:val="008D71BE"/>
    <w:rsid w:val="008D77CC"/>
    <w:rsid w:val="008D7E3B"/>
    <w:rsid w:val="008E01F1"/>
    <w:rsid w:val="008E0591"/>
    <w:rsid w:val="008E0BE3"/>
    <w:rsid w:val="008E0E81"/>
    <w:rsid w:val="008E1368"/>
    <w:rsid w:val="008E21BC"/>
    <w:rsid w:val="008E2541"/>
    <w:rsid w:val="008E2F45"/>
    <w:rsid w:val="008E37F8"/>
    <w:rsid w:val="008E40BC"/>
    <w:rsid w:val="008E4CF6"/>
    <w:rsid w:val="008E5EE9"/>
    <w:rsid w:val="008E63FA"/>
    <w:rsid w:val="008F2351"/>
    <w:rsid w:val="008F451F"/>
    <w:rsid w:val="008F5E4C"/>
    <w:rsid w:val="008F6D69"/>
    <w:rsid w:val="008F75CE"/>
    <w:rsid w:val="0090010A"/>
    <w:rsid w:val="0090164B"/>
    <w:rsid w:val="009020A5"/>
    <w:rsid w:val="0090389C"/>
    <w:rsid w:val="00904422"/>
    <w:rsid w:val="00904F65"/>
    <w:rsid w:val="009052C2"/>
    <w:rsid w:val="009053CE"/>
    <w:rsid w:val="009055F9"/>
    <w:rsid w:val="00905ADE"/>
    <w:rsid w:val="00906E07"/>
    <w:rsid w:val="009077B7"/>
    <w:rsid w:val="00907C89"/>
    <w:rsid w:val="00907F09"/>
    <w:rsid w:val="00910044"/>
    <w:rsid w:val="00910BF2"/>
    <w:rsid w:val="00911BD0"/>
    <w:rsid w:val="00911E49"/>
    <w:rsid w:val="0091224A"/>
    <w:rsid w:val="00913DB4"/>
    <w:rsid w:val="00913F14"/>
    <w:rsid w:val="009141AE"/>
    <w:rsid w:val="00915149"/>
    <w:rsid w:val="009155B1"/>
    <w:rsid w:val="0091607D"/>
    <w:rsid w:val="00916F51"/>
    <w:rsid w:val="009204FD"/>
    <w:rsid w:val="00920DA5"/>
    <w:rsid w:val="00921A9F"/>
    <w:rsid w:val="00921D8F"/>
    <w:rsid w:val="0092250E"/>
    <w:rsid w:val="00922518"/>
    <w:rsid w:val="00922C32"/>
    <w:rsid w:val="009230CD"/>
    <w:rsid w:val="0092334C"/>
    <w:rsid w:val="00923E85"/>
    <w:rsid w:val="00923F28"/>
    <w:rsid w:val="009244C8"/>
    <w:rsid w:val="009278C3"/>
    <w:rsid w:val="00927916"/>
    <w:rsid w:val="00930440"/>
    <w:rsid w:val="009311E2"/>
    <w:rsid w:val="00931448"/>
    <w:rsid w:val="00933AD5"/>
    <w:rsid w:val="00933D66"/>
    <w:rsid w:val="00935083"/>
    <w:rsid w:val="0093559D"/>
    <w:rsid w:val="009363C8"/>
    <w:rsid w:val="009367F2"/>
    <w:rsid w:val="00936848"/>
    <w:rsid w:val="00936EBD"/>
    <w:rsid w:val="00940022"/>
    <w:rsid w:val="00940D69"/>
    <w:rsid w:val="00941309"/>
    <w:rsid w:val="00941A1A"/>
    <w:rsid w:val="0094279F"/>
    <w:rsid w:val="009435A3"/>
    <w:rsid w:val="0094476A"/>
    <w:rsid w:val="00944B32"/>
    <w:rsid w:val="00945435"/>
    <w:rsid w:val="0094556F"/>
    <w:rsid w:val="00946F81"/>
    <w:rsid w:val="0094778E"/>
    <w:rsid w:val="00950248"/>
    <w:rsid w:val="009509DC"/>
    <w:rsid w:val="00951189"/>
    <w:rsid w:val="0095282D"/>
    <w:rsid w:val="009542FB"/>
    <w:rsid w:val="0095437B"/>
    <w:rsid w:val="0095489A"/>
    <w:rsid w:val="009550EE"/>
    <w:rsid w:val="00955799"/>
    <w:rsid w:val="009563EA"/>
    <w:rsid w:val="0095689B"/>
    <w:rsid w:val="00956F74"/>
    <w:rsid w:val="009600F3"/>
    <w:rsid w:val="00960664"/>
    <w:rsid w:val="00962F4B"/>
    <w:rsid w:val="009632F2"/>
    <w:rsid w:val="009638BA"/>
    <w:rsid w:val="00963CD5"/>
    <w:rsid w:val="00964B46"/>
    <w:rsid w:val="009678D3"/>
    <w:rsid w:val="0097049D"/>
    <w:rsid w:val="00971012"/>
    <w:rsid w:val="00971F29"/>
    <w:rsid w:val="0097206D"/>
    <w:rsid w:val="00972110"/>
    <w:rsid w:val="00972EE1"/>
    <w:rsid w:val="00973027"/>
    <w:rsid w:val="00973167"/>
    <w:rsid w:val="00973A74"/>
    <w:rsid w:val="00974391"/>
    <w:rsid w:val="00974721"/>
    <w:rsid w:val="00974F5C"/>
    <w:rsid w:val="00975C97"/>
    <w:rsid w:val="00976692"/>
    <w:rsid w:val="00980163"/>
    <w:rsid w:val="00980ECE"/>
    <w:rsid w:val="00980F6E"/>
    <w:rsid w:val="00984E52"/>
    <w:rsid w:val="00985007"/>
    <w:rsid w:val="00985A43"/>
    <w:rsid w:val="00986120"/>
    <w:rsid w:val="00986346"/>
    <w:rsid w:val="00986AFF"/>
    <w:rsid w:val="00987303"/>
    <w:rsid w:val="009873AC"/>
    <w:rsid w:val="00987498"/>
    <w:rsid w:val="0099082C"/>
    <w:rsid w:val="009909AC"/>
    <w:rsid w:val="00990DC8"/>
    <w:rsid w:val="0099193F"/>
    <w:rsid w:val="00992FE4"/>
    <w:rsid w:val="00993D61"/>
    <w:rsid w:val="00994AB0"/>
    <w:rsid w:val="00995520"/>
    <w:rsid w:val="00995BEC"/>
    <w:rsid w:val="00996900"/>
    <w:rsid w:val="0099691A"/>
    <w:rsid w:val="00996DD7"/>
    <w:rsid w:val="009A17A8"/>
    <w:rsid w:val="009A1D54"/>
    <w:rsid w:val="009A258D"/>
    <w:rsid w:val="009A2859"/>
    <w:rsid w:val="009A43EA"/>
    <w:rsid w:val="009A4AF7"/>
    <w:rsid w:val="009A5B6D"/>
    <w:rsid w:val="009A5D78"/>
    <w:rsid w:val="009A5FA7"/>
    <w:rsid w:val="009A6C4A"/>
    <w:rsid w:val="009A7051"/>
    <w:rsid w:val="009A7738"/>
    <w:rsid w:val="009A7776"/>
    <w:rsid w:val="009A7D5E"/>
    <w:rsid w:val="009B05C4"/>
    <w:rsid w:val="009B0909"/>
    <w:rsid w:val="009B0E4D"/>
    <w:rsid w:val="009B0E8E"/>
    <w:rsid w:val="009B10B5"/>
    <w:rsid w:val="009B2900"/>
    <w:rsid w:val="009B3B91"/>
    <w:rsid w:val="009B3D18"/>
    <w:rsid w:val="009B3F49"/>
    <w:rsid w:val="009B3FDC"/>
    <w:rsid w:val="009B4EB9"/>
    <w:rsid w:val="009B50AB"/>
    <w:rsid w:val="009B50D1"/>
    <w:rsid w:val="009B5D98"/>
    <w:rsid w:val="009B72AD"/>
    <w:rsid w:val="009B73A8"/>
    <w:rsid w:val="009B78FB"/>
    <w:rsid w:val="009B7E63"/>
    <w:rsid w:val="009C08B1"/>
    <w:rsid w:val="009C0E5C"/>
    <w:rsid w:val="009C0ED1"/>
    <w:rsid w:val="009C140A"/>
    <w:rsid w:val="009C2433"/>
    <w:rsid w:val="009C2C10"/>
    <w:rsid w:val="009C3911"/>
    <w:rsid w:val="009C481F"/>
    <w:rsid w:val="009C560A"/>
    <w:rsid w:val="009C561B"/>
    <w:rsid w:val="009C5E6E"/>
    <w:rsid w:val="009C64ED"/>
    <w:rsid w:val="009C6E63"/>
    <w:rsid w:val="009C7505"/>
    <w:rsid w:val="009C7A8D"/>
    <w:rsid w:val="009D0650"/>
    <w:rsid w:val="009D1794"/>
    <w:rsid w:val="009D1BCF"/>
    <w:rsid w:val="009D1D16"/>
    <w:rsid w:val="009D2681"/>
    <w:rsid w:val="009D2687"/>
    <w:rsid w:val="009D2B08"/>
    <w:rsid w:val="009D2C15"/>
    <w:rsid w:val="009D2DDE"/>
    <w:rsid w:val="009D379D"/>
    <w:rsid w:val="009D57F8"/>
    <w:rsid w:val="009D78E8"/>
    <w:rsid w:val="009D7FB5"/>
    <w:rsid w:val="009E0135"/>
    <w:rsid w:val="009E044F"/>
    <w:rsid w:val="009E0511"/>
    <w:rsid w:val="009E0B47"/>
    <w:rsid w:val="009E0DBD"/>
    <w:rsid w:val="009E1B1C"/>
    <w:rsid w:val="009E1B9A"/>
    <w:rsid w:val="009E1F84"/>
    <w:rsid w:val="009E25E2"/>
    <w:rsid w:val="009E353D"/>
    <w:rsid w:val="009E5F96"/>
    <w:rsid w:val="009E62DD"/>
    <w:rsid w:val="009E665E"/>
    <w:rsid w:val="009E70A0"/>
    <w:rsid w:val="009E7DE4"/>
    <w:rsid w:val="009F041B"/>
    <w:rsid w:val="009F1C42"/>
    <w:rsid w:val="009F1D4E"/>
    <w:rsid w:val="009F3637"/>
    <w:rsid w:val="009F4586"/>
    <w:rsid w:val="009F523D"/>
    <w:rsid w:val="009F5B85"/>
    <w:rsid w:val="009F6237"/>
    <w:rsid w:val="009F6A87"/>
    <w:rsid w:val="009F7097"/>
    <w:rsid w:val="009F7288"/>
    <w:rsid w:val="00A00C5F"/>
    <w:rsid w:val="00A00DDC"/>
    <w:rsid w:val="00A00EC5"/>
    <w:rsid w:val="00A024AF"/>
    <w:rsid w:val="00A058B2"/>
    <w:rsid w:val="00A07607"/>
    <w:rsid w:val="00A10B4D"/>
    <w:rsid w:val="00A11A37"/>
    <w:rsid w:val="00A13793"/>
    <w:rsid w:val="00A140CD"/>
    <w:rsid w:val="00A14149"/>
    <w:rsid w:val="00A14F45"/>
    <w:rsid w:val="00A16718"/>
    <w:rsid w:val="00A173EB"/>
    <w:rsid w:val="00A173FB"/>
    <w:rsid w:val="00A17595"/>
    <w:rsid w:val="00A17FB1"/>
    <w:rsid w:val="00A2104A"/>
    <w:rsid w:val="00A22779"/>
    <w:rsid w:val="00A22A82"/>
    <w:rsid w:val="00A23630"/>
    <w:rsid w:val="00A25BD4"/>
    <w:rsid w:val="00A25FEA"/>
    <w:rsid w:val="00A26681"/>
    <w:rsid w:val="00A26BB7"/>
    <w:rsid w:val="00A30B02"/>
    <w:rsid w:val="00A31925"/>
    <w:rsid w:val="00A355BA"/>
    <w:rsid w:val="00A35DBF"/>
    <w:rsid w:val="00A40835"/>
    <w:rsid w:val="00A4116F"/>
    <w:rsid w:val="00A415BA"/>
    <w:rsid w:val="00A429CA"/>
    <w:rsid w:val="00A42DB5"/>
    <w:rsid w:val="00A42EC2"/>
    <w:rsid w:val="00A42F05"/>
    <w:rsid w:val="00A437A2"/>
    <w:rsid w:val="00A447FB"/>
    <w:rsid w:val="00A448E5"/>
    <w:rsid w:val="00A44DBD"/>
    <w:rsid w:val="00A450E6"/>
    <w:rsid w:val="00A4755E"/>
    <w:rsid w:val="00A50901"/>
    <w:rsid w:val="00A52CDD"/>
    <w:rsid w:val="00A537F2"/>
    <w:rsid w:val="00A545F1"/>
    <w:rsid w:val="00A561E3"/>
    <w:rsid w:val="00A56679"/>
    <w:rsid w:val="00A578C5"/>
    <w:rsid w:val="00A61350"/>
    <w:rsid w:val="00A6287B"/>
    <w:rsid w:val="00A63421"/>
    <w:rsid w:val="00A645C6"/>
    <w:rsid w:val="00A64D5A"/>
    <w:rsid w:val="00A64DBD"/>
    <w:rsid w:val="00A65308"/>
    <w:rsid w:val="00A65E47"/>
    <w:rsid w:val="00A65EBA"/>
    <w:rsid w:val="00A66284"/>
    <w:rsid w:val="00A66779"/>
    <w:rsid w:val="00A66C23"/>
    <w:rsid w:val="00A67C9E"/>
    <w:rsid w:val="00A708D9"/>
    <w:rsid w:val="00A70D5E"/>
    <w:rsid w:val="00A719EB"/>
    <w:rsid w:val="00A71A6F"/>
    <w:rsid w:val="00A71C52"/>
    <w:rsid w:val="00A73F5D"/>
    <w:rsid w:val="00A75F75"/>
    <w:rsid w:val="00A77935"/>
    <w:rsid w:val="00A80361"/>
    <w:rsid w:val="00A80D0A"/>
    <w:rsid w:val="00A8113F"/>
    <w:rsid w:val="00A81A5F"/>
    <w:rsid w:val="00A8343E"/>
    <w:rsid w:val="00A83488"/>
    <w:rsid w:val="00A837F9"/>
    <w:rsid w:val="00A84652"/>
    <w:rsid w:val="00A84ED2"/>
    <w:rsid w:val="00A85343"/>
    <w:rsid w:val="00A857FB"/>
    <w:rsid w:val="00A86D3A"/>
    <w:rsid w:val="00A90842"/>
    <w:rsid w:val="00A90BAC"/>
    <w:rsid w:val="00A90DD9"/>
    <w:rsid w:val="00A9387A"/>
    <w:rsid w:val="00A93F34"/>
    <w:rsid w:val="00A940CE"/>
    <w:rsid w:val="00A942F6"/>
    <w:rsid w:val="00A9454D"/>
    <w:rsid w:val="00A9528E"/>
    <w:rsid w:val="00A95828"/>
    <w:rsid w:val="00A97369"/>
    <w:rsid w:val="00AA0097"/>
    <w:rsid w:val="00AA031C"/>
    <w:rsid w:val="00AA0F80"/>
    <w:rsid w:val="00AA1A9D"/>
    <w:rsid w:val="00AA1BD6"/>
    <w:rsid w:val="00AA1F10"/>
    <w:rsid w:val="00AA30FB"/>
    <w:rsid w:val="00AA4C0F"/>
    <w:rsid w:val="00AA4D4F"/>
    <w:rsid w:val="00AA57FE"/>
    <w:rsid w:val="00AA5E31"/>
    <w:rsid w:val="00AA605A"/>
    <w:rsid w:val="00AA6560"/>
    <w:rsid w:val="00AA662A"/>
    <w:rsid w:val="00AA6992"/>
    <w:rsid w:val="00AA78AE"/>
    <w:rsid w:val="00AA7C8D"/>
    <w:rsid w:val="00AB03C2"/>
    <w:rsid w:val="00AB048E"/>
    <w:rsid w:val="00AB1210"/>
    <w:rsid w:val="00AB127D"/>
    <w:rsid w:val="00AB21D6"/>
    <w:rsid w:val="00AB4BAD"/>
    <w:rsid w:val="00AB56ED"/>
    <w:rsid w:val="00AB5732"/>
    <w:rsid w:val="00AB6359"/>
    <w:rsid w:val="00AC0275"/>
    <w:rsid w:val="00AC0F85"/>
    <w:rsid w:val="00AC132A"/>
    <w:rsid w:val="00AC17BE"/>
    <w:rsid w:val="00AC400C"/>
    <w:rsid w:val="00AC490B"/>
    <w:rsid w:val="00AC4C06"/>
    <w:rsid w:val="00AC50BF"/>
    <w:rsid w:val="00AC70C2"/>
    <w:rsid w:val="00AC7AC4"/>
    <w:rsid w:val="00AD2F13"/>
    <w:rsid w:val="00AD35DF"/>
    <w:rsid w:val="00AD3F13"/>
    <w:rsid w:val="00AD40C5"/>
    <w:rsid w:val="00AD513F"/>
    <w:rsid w:val="00AD5E79"/>
    <w:rsid w:val="00AD76BF"/>
    <w:rsid w:val="00AE041C"/>
    <w:rsid w:val="00AE0832"/>
    <w:rsid w:val="00AE0DC4"/>
    <w:rsid w:val="00AE1FAF"/>
    <w:rsid w:val="00AE2117"/>
    <w:rsid w:val="00AE2EAF"/>
    <w:rsid w:val="00AE3691"/>
    <w:rsid w:val="00AE37A7"/>
    <w:rsid w:val="00AE37FA"/>
    <w:rsid w:val="00AE38BC"/>
    <w:rsid w:val="00AE431C"/>
    <w:rsid w:val="00AE58C3"/>
    <w:rsid w:val="00AE5EAE"/>
    <w:rsid w:val="00AE61E8"/>
    <w:rsid w:val="00AE62C6"/>
    <w:rsid w:val="00AE6E48"/>
    <w:rsid w:val="00AF08FC"/>
    <w:rsid w:val="00AF0D9C"/>
    <w:rsid w:val="00AF330E"/>
    <w:rsid w:val="00AF3A67"/>
    <w:rsid w:val="00AF48F7"/>
    <w:rsid w:val="00AF56DC"/>
    <w:rsid w:val="00AF60DB"/>
    <w:rsid w:val="00AF69CF"/>
    <w:rsid w:val="00AF7735"/>
    <w:rsid w:val="00B00015"/>
    <w:rsid w:val="00B0025E"/>
    <w:rsid w:val="00B0130B"/>
    <w:rsid w:val="00B039B6"/>
    <w:rsid w:val="00B05E37"/>
    <w:rsid w:val="00B06306"/>
    <w:rsid w:val="00B0790B"/>
    <w:rsid w:val="00B1029C"/>
    <w:rsid w:val="00B10F0E"/>
    <w:rsid w:val="00B110B4"/>
    <w:rsid w:val="00B11751"/>
    <w:rsid w:val="00B129B0"/>
    <w:rsid w:val="00B13EEF"/>
    <w:rsid w:val="00B14D13"/>
    <w:rsid w:val="00B160C3"/>
    <w:rsid w:val="00B16359"/>
    <w:rsid w:val="00B1673D"/>
    <w:rsid w:val="00B16A03"/>
    <w:rsid w:val="00B16DEC"/>
    <w:rsid w:val="00B17D9C"/>
    <w:rsid w:val="00B22328"/>
    <w:rsid w:val="00B23E0A"/>
    <w:rsid w:val="00B24D2F"/>
    <w:rsid w:val="00B2581B"/>
    <w:rsid w:val="00B26075"/>
    <w:rsid w:val="00B276BD"/>
    <w:rsid w:val="00B30754"/>
    <w:rsid w:val="00B3076D"/>
    <w:rsid w:val="00B30AFD"/>
    <w:rsid w:val="00B3195B"/>
    <w:rsid w:val="00B31AFB"/>
    <w:rsid w:val="00B32D28"/>
    <w:rsid w:val="00B33198"/>
    <w:rsid w:val="00B33588"/>
    <w:rsid w:val="00B338B8"/>
    <w:rsid w:val="00B34454"/>
    <w:rsid w:val="00B35924"/>
    <w:rsid w:val="00B36725"/>
    <w:rsid w:val="00B37830"/>
    <w:rsid w:val="00B379EA"/>
    <w:rsid w:val="00B37B7A"/>
    <w:rsid w:val="00B41842"/>
    <w:rsid w:val="00B41FF1"/>
    <w:rsid w:val="00B43205"/>
    <w:rsid w:val="00B432C8"/>
    <w:rsid w:val="00B47658"/>
    <w:rsid w:val="00B478DF"/>
    <w:rsid w:val="00B47C44"/>
    <w:rsid w:val="00B47F02"/>
    <w:rsid w:val="00B47FED"/>
    <w:rsid w:val="00B500CF"/>
    <w:rsid w:val="00B507B6"/>
    <w:rsid w:val="00B516CF"/>
    <w:rsid w:val="00B517D2"/>
    <w:rsid w:val="00B52112"/>
    <w:rsid w:val="00B53178"/>
    <w:rsid w:val="00B533C0"/>
    <w:rsid w:val="00B537D2"/>
    <w:rsid w:val="00B54A3F"/>
    <w:rsid w:val="00B54F7F"/>
    <w:rsid w:val="00B57F41"/>
    <w:rsid w:val="00B6020F"/>
    <w:rsid w:val="00B6059A"/>
    <w:rsid w:val="00B60BED"/>
    <w:rsid w:val="00B61786"/>
    <w:rsid w:val="00B61E80"/>
    <w:rsid w:val="00B61FD3"/>
    <w:rsid w:val="00B62247"/>
    <w:rsid w:val="00B634D5"/>
    <w:rsid w:val="00B64405"/>
    <w:rsid w:val="00B64CF5"/>
    <w:rsid w:val="00B65578"/>
    <w:rsid w:val="00B661FE"/>
    <w:rsid w:val="00B66D84"/>
    <w:rsid w:val="00B702F1"/>
    <w:rsid w:val="00B70395"/>
    <w:rsid w:val="00B70E9A"/>
    <w:rsid w:val="00B7145D"/>
    <w:rsid w:val="00B718E9"/>
    <w:rsid w:val="00B72BF7"/>
    <w:rsid w:val="00B73C4A"/>
    <w:rsid w:val="00B73D5E"/>
    <w:rsid w:val="00B7433D"/>
    <w:rsid w:val="00B7460F"/>
    <w:rsid w:val="00B74FDD"/>
    <w:rsid w:val="00B7595C"/>
    <w:rsid w:val="00B75D0F"/>
    <w:rsid w:val="00B761A1"/>
    <w:rsid w:val="00B7645C"/>
    <w:rsid w:val="00B7687E"/>
    <w:rsid w:val="00B769AB"/>
    <w:rsid w:val="00B76DDB"/>
    <w:rsid w:val="00B7714A"/>
    <w:rsid w:val="00B7754C"/>
    <w:rsid w:val="00B80043"/>
    <w:rsid w:val="00B80A56"/>
    <w:rsid w:val="00B822DA"/>
    <w:rsid w:val="00B82A3A"/>
    <w:rsid w:val="00B83215"/>
    <w:rsid w:val="00B83409"/>
    <w:rsid w:val="00B835B2"/>
    <w:rsid w:val="00B838A1"/>
    <w:rsid w:val="00B83B5A"/>
    <w:rsid w:val="00B83E38"/>
    <w:rsid w:val="00B83E70"/>
    <w:rsid w:val="00B843CA"/>
    <w:rsid w:val="00B85B64"/>
    <w:rsid w:val="00B864DC"/>
    <w:rsid w:val="00B87372"/>
    <w:rsid w:val="00B87CED"/>
    <w:rsid w:val="00B90AE1"/>
    <w:rsid w:val="00B91185"/>
    <w:rsid w:val="00B9236C"/>
    <w:rsid w:val="00B92E74"/>
    <w:rsid w:val="00B93103"/>
    <w:rsid w:val="00B938EE"/>
    <w:rsid w:val="00B93BD0"/>
    <w:rsid w:val="00B95B94"/>
    <w:rsid w:val="00B95C24"/>
    <w:rsid w:val="00B95F28"/>
    <w:rsid w:val="00B962BE"/>
    <w:rsid w:val="00B96CE6"/>
    <w:rsid w:val="00B97BD3"/>
    <w:rsid w:val="00BA212A"/>
    <w:rsid w:val="00BA29E5"/>
    <w:rsid w:val="00BA330D"/>
    <w:rsid w:val="00BA42E7"/>
    <w:rsid w:val="00BA49BE"/>
    <w:rsid w:val="00BA4AF6"/>
    <w:rsid w:val="00BA6BE3"/>
    <w:rsid w:val="00BA7473"/>
    <w:rsid w:val="00BB0224"/>
    <w:rsid w:val="00BB1256"/>
    <w:rsid w:val="00BB1E45"/>
    <w:rsid w:val="00BB3F47"/>
    <w:rsid w:val="00BB43E2"/>
    <w:rsid w:val="00BB461D"/>
    <w:rsid w:val="00BB4B24"/>
    <w:rsid w:val="00BB5D05"/>
    <w:rsid w:val="00BB63B2"/>
    <w:rsid w:val="00BB65ED"/>
    <w:rsid w:val="00BB6614"/>
    <w:rsid w:val="00BB684C"/>
    <w:rsid w:val="00BB6AF2"/>
    <w:rsid w:val="00BC0096"/>
    <w:rsid w:val="00BC0716"/>
    <w:rsid w:val="00BC307B"/>
    <w:rsid w:val="00BC3426"/>
    <w:rsid w:val="00BC3DFB"/>
    <w:rsid w:val="00BC3F36"/>
    <w:rsid w:val="00BC45CC"/>
    <w:rsid w:val="00BC5253"/>
    <w:rsid w:val="00BC580C"/>
    <w:rsid w:val="00BC6733"/>
    <w:rsid w:val="00BC7348"/>
    <w:rsid w:val="00BC7A10"/>
    <w:rsid w:val="00BD299D"/>
    <w:rsid w:val="00BD2A58"/>
    <w:rsid w:val="00BD2CFC"/>
    <w:rsid w:val="00BD39FC"/>
    <w:rsid w:val="00BD3A96"/>
    <w:rsid w:val="00BD3FAD"/>
    <w:rsid w:val="00BD4444"/>
    <w:rsid w:val="00BD51F6"/>
    <w:rsid w:val="00BD5FAB"/>
    <w:rsid w:val="00BD75DE"/>
    <w:rsid w:val="00BE1E38"/>
    <w:rsid w:val="00BE34A9"/>
    <w:rsid w:val="00BE3A6F"/>
    <w:rsid w:val="00BE3BAE"/>
    <w:rsid w:val="00BE3D07"/>
    <w:rsid w:val="00BE3EE3"/>
    <w:rsid w:val="00BE4540"/>
    <w:rsid w:val="00BE4BEC"/>
    <w:rsid w:val="00BE5F0D"/>
    <w:rsid w:val="00BE5FE4"/>
    <w:rsid w:val="00BE78DE"/>
    <w:rsid w:val="00BE7B3D"/>
    <w:rsid w:val="00BE7E2B"/>
    <w:rsid w:val="00BF0356"/>
    <w:rsid w:val="00BF114A"/>
    <w:rsid w:val="00BF3901"/>
    <w:rsid w:val="00BF4056"/>
    <w:rsid w:val="00BF426D"/>
    <w:rsid w:val="00BF57F9"/>
    <w:rsid w:val="00BF6BE9"/>
    <w:rsid w:val="00BF6CEC"/>
    <w:rsid w:val="00C002A1"/>
    <w:rsid w:val="00C00AA0"/>
    <w:rsid w:val="00C01705"/>
    <w:rsid w:val="00C02B0B"/>
    <w:rsid w:val="00C02CB3"/>
    <w:rsid w:val="00C03C3B"/>
    <w:rsid w:val="00C04831"/>
    <w:rsid w:val="00C055A6"/>
    <w:rsid w:val="00C05AA7"/>
    <w:rsid w:val="00C05C32"/>
    <w:rsid w:val="00C05CCA"/>
    <w:rsid w:val="00C05E8E"/>
    <w:rsid w:val="00C06122"/>
    <w:rsid w:val="00C06146"/>
    <w:rsid w:val="00C06E11"/>
    <w:rsid w:val="00C071B4"/>
    <w:rsid w:val="00C07230"/>
    <w:rsid w:val="00C07BDC"/>
    <w:rsid w:val="00C102F0"/>
    <w:rsid w:val="00C10B52"/>
    <w:rsid w:val="00C12586"/>
    <w:rsid w:val="00C125BD"/>
    <w:rsid w:val="00C13E65"/>
    <w:rsid w:val="00C1444F"/>
    <w:rsid w:val="00C15279"/>
    <w:rsid w:val="00C15FC2"/>
    <w:rsid w:val="00C168D9"/>
    <w:rsid w:val="00C17E1A"/>
    <w:rsid w:val="00C2069A"/>
    <w:rsid w:val="00C20F78"/>
    <w:rsid w:val="00C21A2E"/>
    <w:rsid w:val="00C238FF"/>
    <w:rsid w:val="00C2391F"/>
    <w:rsid w:val="00C23AC4"/>
    <w:rsid w:val="00C23C08"/>
    <w:rsid w:val="00C24468"/>
    <w:rsid w:val="00C24D17"/>
    <w:rsid w:val="00C255CA"/>
    <w:rsid w:val="00C25B34"/>
    <w:rsid w:val="00C25E78"/>
    <w:rsid w:val="00C26760"/>
    <w:rsid w:val="00C2790F"/>
    <w:rsid w:val="00C27A58"/>
    <w:rsid w:val="00C27DC5"/>
    <w:rsid w:val="00C30DC1"/>
    <w:rsid w:val="00C30DD3"/>
    <w:rsid w:val="00C30FE9"/>
    <w:rsid w:val="00C320CE"/>
    <w:rsid w:val="00C320E1"/>
    <w:rsid w:val="00C328CC"/>
    <w:rsid w:val="00C33CBF"/>
    <w:rsid w:val="00C354E1"/>
    <w:rsid w:val="00C3755B"/>
    <w:rsid w:val="00C37B4D"/>
    <w:rsid w:val="00C37BB3"/>
    <w:rsid w:val="00C37EC0"/>
    <w:rsid w:val="00C40005"/>
    <w:rsid w:val="00C400F7"/>
    <w:rsid w:val="00C401D5"/>
    <w:rsid w:val="00C40C56"/>
    <w:rsid w:val="00C41312"/>
    <w:rsid w:val="00C419AF"/>
    <w:rsid w:val="00C432D3"/>
    <w:rsid w:val="00C44310"/>
    <w:rsid w:val="00C44587"/>
    <w:rsid w:val="00C44660"/>
    <w:rsid w:val="00C44669"/>
    <w:rsid w:val="00C46416"/>
    <w:rsid w:val="00C47251"/>
    <w:rsid w:val="00C47661"/>
    <w:rsid w:val="00C47AA9"/>
    <w:rsid w:val="00C50263"/>
    <w:rsid w:val="00C51689"/>
    <w:rsid w:val="00C51AEB"/>
    <w:rsid w:val="00C52022"/>
    <w:rsid w:val="00C54552"/>
    <w:rsid w:val="00C555B7"/>
    <w:rsid w:val="00C559D3"/>
    <w:rsid w:val="00C574B5"/>
    <w:rsid w:val="00C57B0D"/>
    <w:rsid w:val="00C57FD4"/>
    <w:rsid w:val="00C60149"/>
    <w:rsid w:val="00C609D5"/>
    <w:rsid w:val="00C61E52"/>
    <w:rsid w:val="00C62066"/>
    <w:rsid w:val="00C623D9"/>
    <w:rsid w:val="00C631AB"/>
    <w:rsid w:val="00C64247"/>
    <w:rsid w:val="00C64567"/>
    <w:rsid w:val="00C65E70"/>
    <w:rsid w:val="00C65FF5"/>
    <w:rsid w:val="00C67A9B"/>
    <w:rsid w:val="00C67CE6"/>
    <w:rsid w:val="00C703F0"/>
    <w:rsid w:val="00C70903"/>
    <w:rsid w:val="00C70F34"/>
    <w:rsid w:val="00C71211"/>
    <w:rsid w:val="00C744DF"/>
    <w:rsid w:val="00C74813"/>
    <w:rsid w:val="00C74DEA"/>
    <w:rsid w:val="00C74E7D"/>
    <w:rsid w:val="00C75A10"/>
    <w:rsid w:val="00C76AA9"/>
    <w:rsid w:val="00C76D92"/>
    <w:rsid w:val="00C76D99"/>
    <w:rsid w:val="00C806FC"/>
    <w:rsid w:val="00C813EB"/>
    <w:rsid w:val="00C81E76"/>
    <w:rsid w:val="00C82A54"/>
    <w:rsid w:val="00C83736"/>
    <w:rsid w:val="00C83F2F"/>
    <w:rsid w:val="00C840C0"/>
    <w:rsid w:val="00C85368"/>
    <w:rsid w:val="00C853B5"/>
    <w:rsid w:val="00C8574E"/>
    <w:rsid w:val="00C85790"/>
    <w:rsid w:val="00C876A7"/>
    <w:rsid w:val="00C87D8D"/>
    <w:rsid w:val="00C9093D"/>
    <w:rsid w:val="00C91DB8"/>
    <w:rsid w:val="00C94C8E"/>
    <w:rsid w:val="00C94D82"/>
    <w:rsid w:val="00C954BA"/>
    <w:rsid w:val="00C957B0"/>
    <w:rsid w:val="00C96828"/>
    <w:rsid w:val="00C971DA"/>
    <w:rsid w:val="00C977E3"/>
    <w:rsid w:val="00CA049D"/>
    <w:rsid w:val="00CA10DC"/>
    <w:rsid w:val="00CA169C"/>
    <w:rsid w:val="00CA19FF"/>
    <w:rsid w:val="00CA223B"/>
    <w:rsid w:val="00CA2301"/>
    <w:rsid w:val="00CA2A04"/>
    <w:rsid w:val="00CA2A89"/>
    <w:rsid w:val="00CA3A45"/>
    <w:rsid w:val="00CA42FD"/>
    <w:rsid w:val="00CA46FF"/>
    <w:rsid w:val="00CA5FEE"/>
    <w:rsid w:val="00CA6008"/>
    <w:rsid w:val="00CA62BA"/>
    <w:rsid w:val="00CA6303"/>
    <w:rsid w:val="00CA72D4"/>
    <w:rsid w:val="00CA763A"/>
    <w:rsid w:val="00CB3E39"/>
    <w:rsid w:val="00CB4D09"/>
    <w:rsid w:val="00CB4FFA"/>
    <w:rsid w:val="00CB5417"/>
    <w:rsid w:val="00CB5D33"/>
    <w:rsid w:val="00CB651B"/>
    <w:rsid w:val="00CC082F"/>
    <w:rsid w:val="00CC29C3"/>
    <w:rsid w:val="00CC2D88"/>
    <w:rsid w:val="00CC320D"/>
    <w:rsid w:val="00CC3C2A"/>
    <w:rsid w:val="00CC47FB"/>
    <w:rsid w:val="00CC4CBB"/>
    <w:rsid w:val="00CC5C47"/>
    <w:rsid w:val="00CC5FB6"/>
    <w:rsid w:val="00CC6680"/>
    <w:rsid w:val="00CD0259"/>
    <w:rsid w:val="00CD12D8"/>
    <w:rsid w:val="00CD2096"/>
    <w:rsid w:val="00CD32E8"/>
    <w:rsid w:val="00CD3FE6"/>
    <w:rsid w:val="00CD4AB5"/>
    <w:rsid w:val="00CD4C14"/>
    <w:rsid w:val="00CD5A14"/>
    <w:rsid w:val="00CD5A5F"/>
    <w:rsid w:val="00CD623A"/>
    <w:rsid w:val="00CD7170"/>
    <w:rsid w:val="00CD7E85"/>
    <w:rsid w:val="00CD7F64"/>
    <w:rsid w:val="00CE0FFA"/>
    <w:rsid w:val="00CE27D1"/>
    <w:rsid w:val="00CE3926"/>
    <w:rsid w:val="00CE39E5"/>
    <w:rsid w:val="00CE3DDD"/>
    <w:rsid w:val="00CE3E3E"/>
    <w:rsid w:val="00CE3F93"/>
    <w:rsid w:val="00CE4916"/>
    <w:rsid w:val="00CE4CEE"/>
    <w:rsid w:val="00CE58E9"/>
    <w:rsid w:val="00CE675D"/>
    <w:rsid w:val="00CE6A4E"/>
    <w:rsid w:val="00CE78F1"/>
    <w:rsid w:val="00CE7A0D"/>
    <w:rsid w:val="00CF037C"/>
    <w:rsid w:val="00CF0CB0"/>
    <w:rsid w:val="00CF1965"/>
    <w:rsid w:val="00CF1D5C"/>
    <w:rsid w:val="00CF1F10"/>
    <w:rsid w:val="00CF2E2C"/>
    <w:rsid w:val="00CF39BF"/>
    <w:rsid w:val="00CF3ECC"/>
    <w:rsid w:val="00CF4063"/>
    <w:rsid w:val="00CF4408"/>
    <w:rsid w:val="00CF4B6C"/>
    <w:rsid w:val="00CF52B0"/>
    <w:rsid w:val="00CF550F"/>
    <w:rsid w:val="00CF6F0F"/>
    <w:rsid w:val="00D01670"/>
    <w:rsid w:val="00D019D9"/>
    <w:rsid w:val="00D024D7"/>
    <w:rsid w:val="00D0279A"/>
    <w:rsid w:val="00D02BAA"/>
    <w:rsid w:val="00D035BA"/>
    <w:rsid w:val="00D045AC"/>
    <w:rsid w:val="00D04BF2"/>
    <w:rsid w:val="00D04F67"/>
    <w:rsid w:val="00D055FE"/>
    <w:rsid w:val="00D06A80"/>
    <w:rsid w:val="00D07035"/>
    <w:rsid w:val="00D104B5"/>
    <w:rsid w:val="00D1085E"/>
    <w:rsid w:val="00D108B6"/>
    <w:rsid w:val="00D109BF"/>
    <w:rsid w:val="00D11F40"/>
    <w:rsid w:val="00D13E87"/>
    <w:rsid w:val="00D141B3"/>
    <w:rsid w:val="00D14334"/>
    <w:rsid w:val="00D144BF"/>
    <w:rsid w:val="00D147E9"/>
    <w:rsid w:val="00D1530B"/>
    <w:rsid w:val="00D22050"/>
    <w:rsid w:val="00D24671"/>
    <w:rsid w:val="00D24804"/>
    <w:rsid w:val="00D25799"/>
    <w:rsid w:val="00D25A72"/>
    <w:rsid w:val="00D26AFE"/>
    <w:rsid w:val="00D26C65"/>
    <w:rsid w:val="00D2712B"/>
    <w:rsid w:val="00D272F6"/>
    <w:rsid w:val="00D27D8D"/>
    <w:rsid w:val="00D30030"/>
    <w:rsid w:val="00D30082"/>
    <w:rsid w:val="00D30848"/>
    <w:rsid w:val="00D3111C"/>
    <w:rsid w:val="00D31DEF"/>
    <w:rsid w:val="00D31FCF"/>
    <w:rsid w:val="00D3220C"/>
    <w:rsid w:val="00D32AD6"/>
    <w:rsid w:val="00D331AA"/>
    <w:rsid w:val="00D347CA"/>
    <w:rsid w:val="00D350EF"/>
    <w:rsid w:val="00D35BBF"/>
    <w:rsid w:val="00D35E81"/>
    <w:rsid w:val="00D3618D"/>
    <w:rsid w:val="00D36E89"/>
    <w:rsid w:val="00D374F4"/>
    <w:rsid w:val="00D40015"/>
    <w:rsid w:val="00D42328"/>
    <w:rsid w:val="00D43330"/>
    <w:rsid w:val="00D43E1E"/>
    <w:rsid w:val="00D440BC"/>
    <w:rsid w:val="00D4411B"/>
    <w:rsid w:val="00D44F59"/>
    <w:rsid w:val="00D46381"/>
    <w:rsid w:val="00D47D7A"/>
    <w:rsid w:val="00D501AC"/>
    <w:rsid w:val="00D501D2"/>
    <w:rsid w:val="00D50A1A"/>
    <w:rsid w:val="00D50BF9"/>
    <w:rsid w:val="00D50D0E"/>
    <w:rsid w:val="00D50F04"/>
    <w:rsid w:val="00D510AF"/>
    <w:rsid w:val="00D51E25"/>
    <w:rsid w:val="00D52345"/>
    <w:rsid w:val="00D52EC9"/>
    <w:rsid w:val="00D54135"/>
    <w:rsid w:val="00D5442A"/>
    <w:rsid w:val="00D54FCB"/>
    <w:rsid w:val="00D5572F"/>
    <w:rsid w:val="00D559B1"/>
    <w:rsid w:val="00D56958"/>
    <w:rsid w:val="00D56A8F"/>
    <w:rsid w:val="00D6087E"/>
    <w:rsid w:val="00D609F7"/>
    <w:rsid w:val="00D61328"/>
    <w:rsid w:val="00D613FD"/>
    <w:rsid w:val="00D6185B"/>
    <w:rsid w:val="00D61989"/>
    <w:rsid w:val="00D62316"/>
    <w:rsid w:val="00D638B4"/>
    <w:rsid w:val="00D646B8"/>
    <w:rsid w:val="00D64D26"/>
    <w:rsid w:val="00D657B9"/>
    <w:rsid w:val="00D659CB"/>
    <w:rsid w:val="00D67471"/>
    <w:rsid w:val="00D70886"/>
    <w:rsid w:val="00D71189"/>
    <w:rsid w:val="00D71720"/>
    <w:rsid w:val="00D7191C"/>
    <w:rsid w:val="00D71A1E"/>
    <w:rsid w:val="00D72502"/>
    <w:rsid w:val="00D75C74"/>
    <w:rsid w:val="00D76125"/>
    <w:rsid w:val="00D76D46"/>
    <w:rsid w:val="00D76F62"/>
    <w:rsid w:val="00D80E2F"/>
    <w:rsid w:val="00D817C4"/>
    <w:rsid w:val="00D81D63"/>
    <w:rsid w:val="00D81E13"/>
    <w:rsid w:val="00D82678"/>
    <w:rsid w:val="00D828C0"/>
    <w:rsid w:val="00D83520"/>
    <w:rsid w:val="00D83AF4"/>
    <w:rsid w:val="00D85419"/>
    <w:rsid w:val="00D85C16"/>
    <w:rsid w:val="00D86B76"/>
    <w:rsid w:val="00D86C21"/>
    <w:rsid w:val="00D8738E"/>
    <w:rsid w:val="00D875FD"/>
    <w:rsid w:val="00D87BF9"/>
    <w:rsid w:val="00D906D3"/>
    <w:rsid w:val="00D90D78"/>
    <w:rsid w:val="00D92B3A"/>
    <w:rsid w:val="00D92C68"/>
    <w:rsid w:val="00D93F43"/>
    <w:rsid w:val="00D94AB3"/>
    <w:rsid w:val="00D94BBF"/>
    <w:rsid w:val="00D95225"/>
    <w:rsid w:val="00D952D6"/>
    <w:rsid w:val="00D95AE5"/>
    <w:rsid w:val="00D96138"/>
    <w:rsid w:val="00D97FB0"/>
    <w:rsid w:val="00DA061D"/>
    <w:rsid w:val="00DA0866"/>
    <w:rsid w:val="00DA0B59"/>
    <w:rsid w:val="00DA1BE2"/>
    <w:rsid w:val="00DA2487"/>
    <w:rsid w:val="00DA250D"/>
    <w:rsid w:val="00DA260F"/>
    <w:rsid w:val="00DA4750"/>
    <w:rsid w:val="00DA5604"/>
    <w:rsid w:val="00DA57F5"/>
    <w:rsid w:val="00DA75E0"/>
    <w:rsid w:val="00DA79F6"/>
    <w:rsid w:val="00DA7A12"/>
    <w:rsid w:val="00DA7F5A"/>
    <w:rsid w:val="00DA7F85"/>
    <w:rsid w:val="00DB0883"/>
    <w:rsid w:val="00DB290B"/>
    <w:rsid w:val="00DB31F6"/>
    <w:rsid w:val="00DB337B"/>
    <w:rsid w:val="00DB3543"/>
    <w:rsid w:val="00DB37CE"/>
    <w:rsid w:val="00DB4BDB"/>
    <w:rsid w:val="00DB50F0"/>
    <w:rsid w:val="00DB56D2"/>
    <w:rsid w:val="00DB6A3C"/>
    <w:rsid w:val="00DB7948"/>
    <w:rsid w:val="00DB7D51"/>
    <w:rsid w:val="00DC1326"/>
    <w:rsid w:val="00DC1765"/>
    <w:rsid w:val="00DC1F92"/>
    <w:rsid w:val="00DC2B7D"/>
    <w:rsid w:val="00DC3AC5"/>
    <w:rsid w:val="00DC46DF"/>
    <w:rsid w:val="00DC4BE6"/>
    <w:rsid w:val="00DC5AF9"/>
    <w:rsid w:val="00DC5B0F"/>
    <w:rsid w:val="00DC609C"/>
    <w:rsid w:val="00DC635E"/>
    <w:rsid w:val="00DC67BB"/>
    <w:rsid w:val="00DC7A88"/>
    <w:rsid w:val="00DC7C38"/>
    <w:rsid w:val="00DD0120"/>
    <w:rsid w:val="00DD1A0D"/>
    <w:rsid w:val="00DD246C"/>
    <w:rsid w:val="00DD35C3"/>
    <w:rsid w:val="00DD362B"/>
    <w:rsid w:val="00DD3975"/>
    <w:rsid w:val="00DD3CE5"/>
    <w:rsid w:val="00DD487E"/>
    <w:rsid w:val="00DD5159"/>
    <w:rsid w:val="00DD5451"/>
    <w:rsid w:val="00DD6589"/>
    <w:rsid w:val="00DD7554"/>
    <w:rsid w:val="00DE096B"/>
    <w:rsid w:val="00DE0EC6"/>
    <w:rsid w:val="00DE18F0"/>
    <w:rsid w:val="00DE35F9"/>
    <w:rsid w:val="00DE480C"/>
    <w:rsid w:val="00DE48E7"/>
    <w:rsid w:val="00DE4D38"/>
    <w:rsid w:val="00DE53E3"/>
    <w:rsid w:val="00DE5F65"/>
    <w:rsid w:val="00DE65B5"/>
    <w:rsid w:val="00DE6976"/>
    <w:rsid w:val="00DE6FC3"/>
    <w:rsid w:val="00DF04A2"/>
    <w:rsid w:val="00DF098C"/>
    <w:rsid w:val="00DF11E9"/>
    <w:rsid w:val="00DF1FC6"/>
    <w:rsid w:val="00DF2413"/>
    <w:rsid w:val="00DF2A96"/>
    <w:rsid w:val="00DF3044"/>
    <w:rsid w:val="00DF52D4"/>
    <w:rsid w:val="00DF6C20"/>
    <w:rsid w:val="00E00277"/>
    <w:rsid w:val="00E0133F"/>
    <w:rsid w:val="00E02723"/>
    <w:rsid w:val="00E039E3"/>
    <w:rsid w:val="00E04BD8"/>
    <w:rsid w:val="00E05D2D"/>
    <w:rsid w:val="00E0640F"/>
    <w:rsid w:val="00E06C4A"/>
    <w:rsid w:val="00E07A09"/>
    <w:rsid w:val="00E105E1"/>
    <w:rsid w:val="00E1090B"/>
    <w:rsid w:val="00E11110"/>
    <w:rsid w:val="00E12834"/>
    <w:rsid w:val="00E128F1"/>
    <w:rsid w:val="00E12B59"/>
    <w:rsid w:val="00E12C96"/>
    <w:rsid w:val="00E13549"/>
    <w:rsid w:val="00E1443A"/>
    <w:rsid w:val="00E14D70"/>
    <w:rsid w:val="00E15484"/>
    <w:rsid w:val="00E16451"/>
    <w:rsid w:val="00E1786A"/>
    <w:rsid w:val="00E20010"/>
    <w:rsid w:val="00E20C5E"/>
    <w:rsid w:val="00E23EED"/>
    <w:rsid w:val="00E24CAD"/>
    <w:rsid w:val="00E258EC"/>
    <w:rsid w:val="00E260CE"/>
    <w:rsid w:val="00E26551"/>
    <w:rsid w:val="00E272F9"/>
    <w:rsid w:val="00E3048D"/>
    <w:rsid w:val="00E30AFD"/>
    <w:rsid w:val="00E30C8C"/>
    <w:rsid w:val="00E3147A"/>
    <w:rsid w:val="00E3274C"/>
    <w:rsid w:val="00E32963"/>
    <w:rsid w:val="00E342F7"/>
    <w:rsid w:val="00E35763"/>
    <w:rsid w:val="00E36109"/>
    <w:rsid w:val="00E36D0A"/>
    <w:rsid w:val="00E37BD2"/>
    <w:rsid w:val="00E37D18"/>
    <w:rsid w:val="00E400AE"/>
    <w:rsid w:val="00E41BEE"/>
    <w:rsid w:val="00E41E03"/>
    <w:rsid w:val="00E45339"/>
    <w:rsid w:val="00E469F8"/>
    <w:rsid w:val="00E50BCA"/>
    <w:rsid w:val="00E510EA"/>
    <w:rsid w:val="00E51B1E"/>
    <w:rsid w:val="00E51E2B"/>
    <w:rsid w:val="00E520B7"/>
    <w:rsid w:val="00E530F1"/>
    <w:rsid w:val="00E5325E"/>
    <w:rsid w:val="00E54CEB"/>
    <w:rsid w:val="00E54F1D"/>
    <w:rsid w:val="00E55326"/>
    <w:rsid w:val="00E561B5"/>
    <w:rsid w:val="00E56803"/>
    <w:rsid w:val="00E57594"/>
    <w:rsid w:val="00E57BEB"/>
    <w:rsid w:val="00E6049F"/>
    <w:rsid w:val="00E6265E"/>
    <w:rsid w:val="00E638A8"/>
    <w:rsid w:val="00E645CA"/>
    <w:rsid w:val="00E64705"/>
    <w:rsid w:val="00E65BBD"/>
    <w:rsid w:val="00E67398"/>
    <w:rsid w:val="00E70A0A"/>
    <w:rsid w:val="00E71483"/>
    <w:rsid w:val="00E715CB"/>
    <w:rsid w:val="00E71918"/>
    <w:rsid w:val="00E7255E"/>
    <w:rsid w:val="00E727F6"/>
    <w:rsid w:val="00E735AA"/>
    <w:rsid w:val="00E7372F"/>
    <w:rsid w:val="00E738C7"/>
    <w:rsid w:val="00E73F0E"/>
    <w:rsid w:val="00E7428F"/>
    <w:rsid w:val="00E74DC7"/>
    <w:rsid w:val="00E7516E"/>
    <w:rsid w:val="00E769C0"/>
    <w:rsid w:val="00E76F6F"/>
    <w:rsid w:val="00E772ED"/>
    <w:rsid w:val="00E773A7"/>
    <w:rsid w:val="00E775F7"/>
    <w:rsid w:val="00E80A9C"/>
    <w:rsid w:val="00E819A3"/>
    <w:rsid w:val="00E825DA"/>
    <w:rsid w:val="00E82B83"/>
    <w:rsid w:val="00E82CA9"/>
    <w:rsid w:val="00E833A3"/>
    <w:rsid w:val="00E86985"/>
    <w:rsid w:val="00E8724B"/>
    <w:rsid w:val="00E873F5"/>
    <w:rsid w:val="00E87E53"/>
    <w:rsid w:val="00E90769"/>
    <w:rsid w:val="00E90A82"/>
    <w:rsid w:val="00E90DD8"/>
    <w:rsid w:val="00E9153F"/>
    <w:rsid w:val="00E916D6"/>
    <w:rsid w:val="00E94C23"/>
    <w:rsid w:val="00E94DF0"/>
    <w:rsid w:val="00E94E26"/>
    <w:rsid w:val="00E950B8"/>
    <w:rsid w:val="00E957F5"/>
    <w:rsid w:val="00E95EA2"/>
    <w:rsid w:val="00E96C2D"/>
    <w:rsid w:val="00E97257"/>
    <w:rsid w:val="00EA012A"/>
    <w:rsid w:val="00EA02BE"/>
    <w:rsid w:val="00EA0FB8"/>
    <w:rsid w:val="00EA157C"/>
    <w:rsid w:val="00EA1674"/>
    <w:rsid w:val="00EA1ACC"/>
    <w:rsid w:val="00EA2914"/>
    <w:rsid w:val="00EA2C39"/>
    <w:rsid w:val="00EA5A1C"/>
    <w:rsid w:val="00EA5A9B"/>
    <w:rsid w:val="00EA74FC"/>
    <w:rsid w:val="00EA75C7"/>
    <w:rsid w:val="00EA7ACD"/>
    <w:rsid w:val="00EB02E1"/>
    <w:rsid w:val="00EB15F9"/>
    <w:rsid w:val="00EB2769"/>
    <w:rsid w:val="00EB2B0D"/>
    <w:rsid w:val="00EB2D01"/>
    <w:rsid w:val="00EB3D1D"/>
    <w:rsid w:val="00EB3EA3"/>
    <w:rsid w:val="00EB4442"/>
    <w:rsid w:val="00EB459A"/>
    <w:rsid w:val="00EB784F"/>
    <w:rsid w:val="00EB795F"/>
    <w:rsid w:val="00EB7CF4"/>
    <w:rsid w:val="00EC004A"/>
    <w:rsid w:val="00EC2404"/>
    <w:rsid w:val="00EC2EBF"/>
    <w:rsid w:val="00EC3487"/>
    <w:rsid w:val="00EC3CF6"/>
    <w:rsid w:val="00EC40D1"/>
    <w:rsid w:val="00EC4283"/>
    <w:rsid w:val="00EC4821"/>
    <w:rsid w:val="00EC63CF"/>
    <w:rsid w:val="00EC6C91"/>
    <w:rsid w:val="00EC70B8"/>
    <w:rsid w:val="00ED0164"/>
    <w:rsid w:val="00ED0D58"/>
    <w:rsid w:val="00ED24A7"/>
    <w:rsid w:val="00ED2950"/>
    <w:rsid w:val="00ED371E"/>
    <w:rsid w:val="00ED3BC9"/>
    <w:rsid w:val="00ED3CF8"/>
    <w:rsid w:val="00ED3E9F"/>
    <w:rsid w:val="00ED448A"/>
    <w:rsid w:val="00ED47C7"/>
    <w:rsid w:val="00ED5C48"/>
    <w:rsid w:val="00ED5CD9"/>
    <w:rsid w:val="00ED5FEA"/>
    <w:rsid w:val="00ED618A"/>
    <w:rsid w:val="00ED6AD5"/>
    <w:rsid w:val="00ED6D67"/>
    <w:rsid w:val="00ED731E"/>
    <w:rsid w:val="00ED7339"/>
    <w:rsid w:val="00ED7C9D"/>
    <w:rsid w:val="00EE0181"/>
    <w:rsid w:val="00EE0D4B"/>
    <w:rsid w:val="00EE1248"/>
    <w:rsid w:val="00EE252E"/>
    <w:rsid w:val="00EE3B63"/>
    <w:rsid w:val="00EE3D9E"/>
    <w:rsid w:val="00EE4B30"/>
    <w:rsid w:val="00EE55DA"/>
    <w:rsid w:val="00EE5A0C"/>
    <w:rsid w:val="00EE7437"/>
    <w:rsid w:val="00EE7BBB"/>
    <w:rsid w:val="00EF0165"/>
    <w:rsid w:val="00EF0A04"/>
    <w:rsid w:val="00EF1E38"/>
    <w:rsid w:val="00EF2B06"/>
    <w:rsid w:val="00EF438D"/>
    <w:rsid w:val="00EF5302"/>
    <w:rsid w:val="00F00380"/>
    <w:rsid w:val="00F00B14"/>
    <w:rsid w:val="00F00C4D"/>
    <w:rsid w:val="00F0208A"/>
    <w:rsid w:val="00F02E1F"/>
    <w:rsid w:val="00F03049"/>
    <w:rsid w:val="00F048CE"/>
    <w:rsid w:val="00F049A0"/>
    <w:rsid w:val="00F055E7"/>
    <w:rsid w:val="00F05CCA"/>
    <w:rsid w:val="00F061DA"/>
    <w:rsid w:val="00F06DFA"/>
    <w:rsid w:val="00F0782E"/>
    <w:rsid w:val="00F07FA4"/>
    <w:rsid w:val="00F10E32"/>
    <w:rsid w:val="00F10F1C"/>
    <w:rsid w:val="00F1102D"/>
    <w:rsid w:val="00F1131E"/>
    <w:rsid w:val="00F11D54"/>
    <w:rsid w:val="00F120CF"/>
    <w:rsid w:val="00F12196"/>
    <w:rsid w:val="00F12677"/>
    <w:rsid w:val="00F13078"/>
    <w:rsid w:val="00F15546"/>
    <w:rsid w:val="00F16EC2"/>
    <w:rsid w:val="00F205D8"/>
    <w:rsid w:val="00F20F10"/>
    <w:rsid w:val="00F21B51"/>
    <w:rsid w:val="00F23380"/>
    <w:rsid w:val="00F25F6E"/>
    <w:rsid w:val="00F26E57"/>
    <w:rsid w:val="00F27539"/>
    <w:rsid w:val="00F27FCF"/>
    <w:rsid w:val="00F3013D"/>
    <w:rsid w:val="00F3086B"/>
    <w:rsid w:val="00F31C54"/>
    <w:rsid w:val="00F31E24"/>
    <w:rsid w:val="00F33276"/>
    <w:rsid w:val="00F34AC4"/>
    <w:rsid w:val="00F367EA"/>
    <w:rsid w:val="00F36A62"/>
    <w:rsid w:val="00F37983"/>
    <w:rsid w:val="00F37F85"/>
    <w:rsid w:val="00F40172"/>
    <w:rsid w:val="00F40289"/>
    <w:rsid w:val="00F404D0"/>
    <w:rsid w:val="00F40890"/>
    <w:rsid w:val="00F40B32"/>
    <w:rsid w:val="00F43900"/>
    <w:rsid w:val="00F43DD8"/>
    <w:rsid w:val="00F4400D"/>
    <w:rsid w:val="00F45FD1"/>
    <w:rsid w:val="00F47A1F"/>
    <w:rsid w:val="00F5078F"/>
    <w:rsid w:val="00F5278F"/>
    <w:rsid w:val="00F52B23"/>
    <w:rsid w:val="00F52B3C"/>
    <w:rsid w:val="00F52C7A"/>
    <w:rsid w:val="00F54D06"/>
    <w:rsid w:val="00F555CD"/>
    <w:rsid w:val="00F5578B"/>
    <w:rsid w:val="00F558F8"/>
    <w:rsid w:val="00F56512"/>
    <w:rsid w:val="00F600FA"/>
    <w:rsid w:val="00F61A52"/>
    <w:rsid w:val="00F624C3"/>
    <w:rsid w:val="00F629F5"/>
    <w:rsid w:val="00F62D7A"/>
    <w:rsid w:val="00F63281"/>
    <w:rsid w:val="00F632FF"/>
    <w:rsid w:val="00F63473"/>
    <w:rsid w:val="00F63920"/>
    <w:rsid w:val="00F6396D"/>
    <w:rsid w:val="00F63B65"/>
    <w:rsid w:val="00F64403"/>
    <w:rsid w:val="00F650E8"/>
    <w:rsid w:val="00F67B05"/>
    <w:rsid w:val="00F67C12"/>
    <w:rsid w:val="00F73485"/>
    <w:rsid w:val="00F7355E"/>
    <w:rsid w:val="00F736A0"/>
    <w:rsid w:val="00F74D33"/>
    <w:rsid w:val="00F76DCB"/>
    <w:rsid w:val="00F76FB8"/>
    <w:rsid w:val="00F77070"/>
    <w:rsid w:val="00F8054F"/>
    <w:rsid w:val="00F82770"/>
    <w:rsid w:val="00F831F5"/>
    <w:rsid w:val="00F84BCC"/>
    <w:rsid w:val="00F86DF5"/>
    <w:rsid w:val="00F87781"/>
    <w:rsid w:val="00F87C6F"/>
    <w:rsid w:val="00F90279"/>
    <w:rsid w:val="00F914E0"/>
    <w:rsid w:val="00F91A25"/>
    <w:rsid w:val="00F9426A"/>
    <w:rsid w:val="00F956EC"/>
    <w:rsid w:val="00F95C53"/>
    <w:rsid w:val="00F96E30"/>
    <w:rsid w:val="00F96EEF"/>
    <w:rsid w:val="00F97931"/>
    <w:rsid w:val="00FA1084"/>
    <w:rsid w:val="00FA12DA"/>
    <w:rsid w:val="00FA1386"/>
    <w:rsid w:val="00FA13B2"/>
    <w:rsid w:val="00FA186B"/>
    <w:rsid w:val="00FA19BB"/>
    <w:rsid w:val="00FA1AC6"/>
    <w:rsid w:val="00FA4050"/>
    <w:rsid w:val="00FA4C00"/>
    <w:rsid w:val="00FA6356"/>
    <w:rsid w:val="00FA6C3B"/>
    <w:rsid w:val="00FA71CC"/>
    <w:rsid w:val="00FA7F2B"/>
    <w:rsid w:val="00FB0302"/>
    <w:rsid w:val="00FB0C28"/>
    <w:rsid w:val="00FB1688"/>
    <w:rsid w:val="00FB19EA"/>
    <w:rsid w:val="00FB1B49"/>
    <w:rsid w:val="00FB2814"/>
    <w:rsid w:val="00FB2F8A"/>
    <w:rsid w:val="00FB3A97"/>
    <w:rsid w:val="00FB4CD9"/>
    <w:rsid w:val="00FB4DB7"/>
    <w:rsid w:val="00FB5376"/>
    <w:rsid w:val="00FB6B4B"/>
    <w:rsid w:val="00FB6FE9"/>
    <w:rsid w:val="00FB7601"/>
    <w:rsid w:val="00FC05EF"/>
    <w:rsid w:val="00FC095C"/>
    <w:rsid w:val="00FC0C38"/>
    <w:rsid w:val="00FC2276"/>
    <w:rsid w:val="00FC27C7"/>
    <w:rsid w:val="00FC2857"/>
    <w:rsid w:val="00FC3F19"/>
    <w:rsid w:val="00FC51AA"/>
    <w:rsid w:val="00FC5205"/>
    <w:rsid w:val="00FC54E7"/>
    <w:rsid w:val="00FC5B2B"/>
    <w:rsid w:val="00FC6943"/>
    <w:rsid w:val="00FC70C2"/>
    <w:rsid w:val="00FC7738"/>
    <w:rsid w:val="00FD2416"/>
    <w:rsid w:val="00FD2E43"/>
    <w:rsid w:val="00FD3034"/>
    <w:rsid w:val="00FD3ADE"/>
    <w:rsid w:val="00FD6AA2"/>
    <w:rsid w:val="00FD6B73"/>
    <w:rsid w:val="00FD6CB8"/>
    <w:rsid w:val="00FD6E1C"/>
    <w:rsid w:val="00FD703A"/>
    <w:rsid w:val="00FD72D7"/>
    <w:rsid w:val="00FD758D"/>
    <w:rsid w:val="00FD76DF"/>
    <w:rsid w:val="00FE0304"/>
    <w:rsid w:val="00FE17CC"/>
    <w:rsid w:val="00FE1AE9"/>
    <w:rsid w:val="00FE224E"/>
    <w:rsid w:val="00FE2A89"/>
    <w:rsid w:val="00FE2B40"/>
    <w:rsid w:val="00FE39E0"/>
    <w:rsid w:val="00FE6B57"/>
    <w:rsid w:val="00FF0102"/>
    <w:rsid w:val="00FF1BA2"/>
    <w:rsid w:val="00FF20C3"/>
    <w:rsid w:val="00FF2202"/>
    <w:rsid w:val="00FF27E4"/>
    <w:rsid w:val="00FF371A"/>
    <w:rsid w:val="00FF3CE8"/>
    <w:rsid w:val="00FF41A0"/>
    <w:rsid w:val="00FF4AFE"/>
    <w:rsid w:val="00FF708A"/>
    <w:rsid w:val="00FF7896"/>
    <w:rsid w:val="00FF79D5"/>
    <w:rsid w:val="012E44AF"/>
    <w:rsid w:val="0146DEF7"/>
    <w:rsid w:val="0154BAE0"/>
    <w:rsid w:val="01D0C2A9"/>
    <w:rsid w:val="02949079"/>
    <w:rsid w:val="02D55002"/>
    <w:rsid w:val="02E6603F"/>
    <w:rsid w:val="030058E1"/>
    <w:rsid w:val="03261F09"/>
    <w:rsid w:val="0354E6D1"/>
    <w:rsid w:val="0397EE8C"/>
    <w:rsid w:val="03B70666"/>
    <w:rsid w:val="03C8CAC1"/>
    <w:rsid w:val="03E56E6F"/>
    <w:rsid w:val="03EA1AFA"/>
    <w:rsid w:val="03F78EAC"/>
    <w:rsid w:val="0450C5EF"/>
    <w:rsid w:val="04749AE6"/>
    <w:rsid w:val="047C79D0"/>
    <w:rsid w:val="04977BCF"/>
    <w:rsid w:val="04C16143"/>
    <w:rsid w:val="04DD7F60"/>
    <w:rsid w:val="05134A88"/>
    <w:rsid w:val="058BFF44"/>
    <w:rsid w:val="05934676"/>
    <w:rsid w:val="0598305B"/>
    <w:rsid w:val="05DD3576"/>
    <w:rsid w:val="05EFD339"/>
    <w:rsid w:val="05F31C01"/>
    <w:rsid w:val="06104715"/>
    <w:rsid w:val="068CB951"/>
    <w:rsid w:val="06C15B63"/>
    <w:rsid w:val="06D75770"/>
    <w:rsid w:val="06E8CE26"/>
    <w:rsid w:val="06EB5790"/>
    <w:rsid w:val="071BEA90"/>
    <w:rsid w:val="0721CFAA"/>
    <w:rsid w:val="0741AE76"/>
    <w:rsid w:val="074245F4"/>
    <w:rsid w:val="075E5B9D"/>
    <w:rsid w:val="07673625"/>
    <w:rsid w:val="07673898"/>
    <w:rsid w:val="078514EE"/>
    <w:rsid w:val="07A122E7"/>
    <w:rsid w:val="07C653AF"/>
    <w:rsid w:val="07CBB5D8"/>
    <w:rsid w:val="07E38671"/>
    <w:rsid w:val="0849F2F0"/>
    <w:rsid w:val="086827FE"/>
    <w:rsid w:val="086EEF5F"/>
    <w:rsid w:val="0883C849"/>
    <w:rsid w:val="0890E7D7"/>
    <w:rsid w:val="08921299"/>
    <w:rsid w:val="08B2B1F8"/>
    <w:rsid w:val="08FDA3A5"/>
    <w:rsid w:val="090D4E65"/>
    <w:rsid w:val="09190762"/>
    <w:rsid w:val="09281155"/>
    <w:rsid w:val="093884BD"/>
    <w:rsid w:val="093E1841"/>
    <w:rsid w:val="0943185B"/>
    <w:rsid w:val="095F7641"/>
    <w:rsid w:val="097034EE"/>
    <w:rsid w:val="09ABEFBC"/>
    <w:rsid w:val="09AC7A05"/>
    <w:rsid w:val="09C63DA7"/>
    <w:rsid w:val="09CE55A4"/>
    <w:rsid w:val="09D3CE65"/>
    <w:rsid w:val="09DA27C2"/>
    <w:rsid w:val="09F0F2AA"/>
    <w:rsid w:val="0A120023"/>
    <w:rsid w:val="0A3B7C22"/>
    <w:rsid w:val="0A591223"/>
    <w:rsid w:val="0A762761"/>
    <w:rsid w:val="0A7B8258"/>
    <w:rsid w:val="0A7F43C3"/>
    <w:rsid w:val="0A7F5F6B"/>
    <w:rsid w:val="0A924552"/>
    <w:rsid w:val="0AAA8B16"/>
    <w:rsid w:val="0AB3E507"/>
    <w:rsid w:val="0AD62C3A"/>
    <w:rsid w:val="0B995A65"/>
    <w:rsid w:val="0BABB657"/>
    <w:rsid w:val="0C0CF6D2"/>
    <w:rsid w:val="0C18B07B"/>
    <w:rsid w:val="0C43FD09"/>
    <w:rsid w:val="0C49AC19"/>
    <w:rsid w:val="0C61966A"/>
    <w:rsid w:val="0CB137D6"/>
    <w:rsid w:val="0CB19B2D"/>
    <w:rsid w:val="0CFDAC7F"/>
    <w:rsid w:val="0D148B5C"/>
    <w:rsid w:val="0D1F56CE"/>
    <w:rsid w:val="0D29A932"/>
    <w:rsid w:val="0D3D67D9"/>
    <w:rsid w:val="0D5D4E73"/>
    <w:rsid w:val="0D601AF1"/>
    <w:rsid w:val="0D76A5C5"/>
    <w:rsid w:val="0DADCFFB"/>
    <w:rsid w:val="0DC2BFC1"/>
    <w:rsid w:val="0DF802ED"/>
    <w:rsid w:val="0E830862"/>
    <w:rsid w:val="0E97A9D9"/>
    <w:rsid w:val="0E9B6939"/>
    <w:rsid w:val="0ECCF860"/>
    <w:rsid w:val="0EFB529D"/>
    <w:rsid w:val="0F4E5C5F"/>
    <w:rsid w:val="0F5FDF91"/>
    <w:rsid w:val="0F7A84C0"/>
    <w:rsid w:val="100DBD8D"/>
    <w:rsid w:val="10257C04"/>
    <w:rsid w:val="102DB0EA"/>
    <w:rsid w:val="105FACD5"/>
    <w:rsid w:val="108E58AE"/>
    <w:rsid w:val="109F1F18"/>
    <w:rsid w:val="10B9EDB1"/>
    <w:rsid w:val="11030FFA"/>
    <w:rsid w:val="1108AC21"/>
    <w:rsid w:val="1111FCE5"/>
    <w:rsid w:val="111C2824"/>
    <w:rsid w:val="112E254A"/>
    <w:rsid w:val="116F43F9"/>
    <w:rsid w:val="117330C8"/>
    <w:rsid w:val="118985E4"/>
    <w:rsid w:val="11A1CEA3"/>
    <w:rsid w:val="11A2AEA3"/>
    <w:rsid w:val="11BB9578"/>
    <w:rsid w:val="11C779FA"/>
    <w:rsid w:val="11E0930A"/>
    <w:rsid w:val="11FBE1EB"/>
    <w:rsid w:val="1207B817"/>
    <w:rsid w:val="122D8513"/>
    <w:rsid w:val="124056B6"/>
    <w:rsid w:val="124ED6C3"/>
    <w:rsid w:val="12FF1C05"/>
    <w:rsid w:val="1306E0AA"/>
    <w:rsid w:val="1325455B"/>
    <w:rsid w:val="1364BF3C"/>
    <w:rsid w:val="1369528B"/>
    <w:rsid w:val="13747CBD"/>
    <w:rsid w:val="1377A271"/>
    <w:rsid w:val="138F70B6"/>
    <w:rsid w:val="139EE3B7"/>
    <w:rsid w:val="13B7CC22"/>
    <w:rsid w:val="141111F7"/>
    <w:rsid w:val="141E1998"/>
    <w:rsid w:val="145190D1"/>
    <w:rsid w:val="14658299"/>
    <w:rsid w:val="148397F4"/>
    <w:rsid w:val="14B7AB8D"/>
    <w:rsid w:val="14DFF11D"/>
    <w:rsid w:val="15092E22"/>
    <w:rsid w:val="150DD08A"/>
    <w:rsid w:val="153CE2CC"/>
    <w:rsid w:val="15520770"/>
    <w:rsid w:val="1617555E"/>
    <w:rsid w:val="1625BA0F"/>
    <w:rsid w:val="16403EF1"/>
    <w:rsid w:val="164569F7"/>
    <w:rsid w:val="164F5BDC"/>
    <w:rsid w:val="165DC09A"/>
    <w:rsid w:val="166196FE"/>
    <w:rsid w:val="1690D4CC"/>
    <w:rsid w:val="16A18F4A"/>
    <w:rsid w:val="16C5BF04"/>
    <w:rsid w:val="16CBDC1F"/>
    <w:rsid w:val="16CDF379"/>
    <w:rsid w:val="16E70BC2"/>
    <w:rsid w:val="170147DB"/>
    <w:rsid w:val="17143BB7"/>
    <w:rsid w:val="1761CE31"/>
    <w:rsid w:val="176B6E88"/>
    <w:rsid w:val="180F0D27"/>
    <w:rsid w:val="182D4A32"/>
    <w:rsid w:val="183AF30D"/>
    <w:rsid w:val="184C7B50"/>
    <w:rsid w:val="18D155EF"/>
    <w:rsid w:val="18D3EE67"/>
    <w:rsid w:val="18D872D8"/>
    <w:rsid w:val="191BC67E"/>
    <w:rsid w:val="192A6CAA"/>
    <w:rsid w:val="192AD159"/>
    <w:rsid w:val="1999D80B"/>
    <w:rsid w:val="19BBDC37"/>
    <w:rsid w:val="19C4DAC4"/>
    <w:rsid w:val="19D11937"/>
    <w:rsid w:val="19F01BDC"/>
    <w:rsid w:val="1A21E10D"/>
    <w:rsid w:val="1A253BF8"/>
    <w:rsid w:val="1A304948"/>
    <w:rsid w:val="1A485724"/>
    <w:rsid w:val="1A5E2230"/>
    <w:rsid w:val="1A815295"/>
    <w:rsid w:val="1AA388AF"/>
    <w:rsid w:val="1AA8C23B"/>
    <w:rsid w:val="1AD6271A"/>
    <w:rsid w:val="1AD6D9B8"/>
    <w:rsid w:val="1B6D5E5F"/>
    <w:rsid w:val="1B9E4C29"/>
    <w:rsid w:val="1B9E4CC1"/>
    <w:rsid w:val="1BB0EEA0"/>
    <w:rsid w:val="1BE62287"/>
    <w:rsid w:val="1C009ADF"/>
    <w:rsid w:val="1C5493F6"/>
    <w:rsid w:val="1C730B9C"/>
    <w:rsid w:val="1C97179A"/>
    <w:rsid w:val="1CF0508D"/>
    <w:rsid w:val="1D3CE056"/>
    <w:rsid w:val="1D4717A8"/>
    <w:rsid w:val="1D47D1F0"/>
    <w:rsid w:val="1D4C9C2C"/>
    <w:rsid w:val="1D534DC8"/>
    <w:rsid w:val="1D6F76CA"/>
    <w:rsid w:val="1D8DF9F0"/>
    <w:rsid w:val="1DAEAAB6"/>
    <w:rsid w:val="1DE4D225"/>
    <w:rsid w:val="1E043263"/>
    <w:rsid w:val="1E21340B"/>
    <w:rsid w:val="1EC7707D"/>
    <w:rsid w:val="1EF4D236"/>
    <w:rsid w:val="1F015026"/>
    <w:rsid w:val="1F2C117F"/>
    <w:rsid w:val="1F5A34C1"/>
    <w:rsid w:val="1F71AF70"/>
    <w:rsid w:val="1FA6FF45"/>
    <w:rsid w:val="1FCEFF46"/>
    <w:rsid w:val="1FF22292"/>
    <w:rsid w:val="1FFDBFD3"/>
    <w:rsid w:val="20573C84"/>
    <w:rsid w:val="20603C9B"/>
    <w:rsid w:val="2096ECD3"/>
    <w:rsid w:val="209FE43E"/>
    <w:rsid w:val="20A1124E"/>
    <w:rsid w:val="20A16231"/>
    <w:rsid w:val="20B468B2"/>
    <w:rsid w:val="20CF5571"/>
    <w:rsid w:val="20D27689"/>
    <w:rsid w:val="210092D4"/>
    <w:rsid w:val="2114BC87"/>
    <w:rsid w:val="212EAD4E"/>
    <w:rsid w:val="215DE405"/>
    <w:rsid w:val="21802925"/>
    <w:rsid w:val="218EF908"/>
    <w:rsid w:val="21C79777"/>
    <w:rsid w:val="21D0D55B"/>
    <w:rsid w:val="21FF0166"/>
    <w:rsid w:val="222D411B"/>
    <w:rsid w:val="225D5961"/>
    <w:rsid w:val="226CC36E"/>
    <w:rsid w:val="22B27067"/>
    <w:rsid w:val="2306D3DB"/>
    <w:rsid w:val="2331F0CF"/>
    <w:rsid w:val="2333BABD"/>
    <w:rsid w:val="23371E04"/>
    <w:rsid w:val="233E6A99"/>
    <w:rsid w:val="235821F1"/>
    <w:rsid w:val="237FE5B5"/>
    <w:rsid w:val="238DF12F"/>
    <w:rsid w:val="238E0A33"/>
    <w:rsid w:val="2391A7A3"/>
    <w:rsid w:val="23A9E25C"/>
    <w:rsid w:val="23FC9486"/>
    <w:rsid w:val="244C1E51"/>
    <w:rsid w:val="251135E4"/>
    <w:rsid w:val="251260FB"/>
    <w:rsid w:val="252C7494"/>
    <w:rsid w:val="253057B0"/>
    <w:rsid w:val="254120EB"/>
    <w:rsid w:val="254A50DC"/>
    <w:rsid w:val="254DA47C"/>
    <w:rsid w:val="2573ECB3"/>
    <w:rsid w:val="2595D8E2"/>
    <w:rsid w:val="25C833C1"/>
    <w:rsid w:val="26264018"/>
    <w:rsid w:val="2652F264"/>
    <w:rsid w:val="2664740D"/>
    <w:rsid w:val="2669A06E"/>
    <w:rsid w:val="266D2478"/>
    <w:rsid w:val="267E4C12"/>
    <w:rsid w:val="2696A5D4"/>
    <w:rsid w:val="26B1A2BC"/>
    <w:rsid w:val="26D8DC17"/>
    <w:rsid w:val="26EA5E18"/>
    <w:rsid w:val="274997DB"/>
    <w:rsid w:val="275AEFA0"/>
    <w:rsid w:val="2794847E"/>
    <w:rsid w:val="27A52D88"/>
    <w:rsid w:val="27DE0933"/>
    <w:rsid w:val="27E1FE95"/>
    <w:rsid w:val="27F6C90A"/>
    <w:rsid w:val="2824741B"/>
    <w:rsid w:val="2825F7FB"/>
    <w:rsid w:val="282813DE"/>
    <w:rsid w:val="2833294C"/>
    <w:rsid w:val="288A4F4E"/>
    <w:rsid w:val="288AAF9A"/>
    <w:rsid w:val="28BBDF7E"/>
    <w:rsid w:val="28C09BA5"/>
    <w:rsid w:val="28F44599"/>
    <w:rsid w:val="292E94D6"/>
    <w:rsid w:val="294BC204"/>
    <w:rsid w:val="2955F7C2"/>
    <w:rsid w:val="298BEBDE"/>
    <w:rsid w:val="29C48A11"/>
    <w:rsid w:val="2A9D3AF4"/>
    <w:rsid w:val="2AE3D665"/>
    <w:rsid w:val="2AEE086D"/>
    <w:rsid w:val="2AF3A2CF"/>
    <w:rsid w:val="2B465E41"/>
    <w:rsid w:val="2B5A0CF9"/>
    <w:rsid w:val="2B966521"/>
    <w:rsid w:val="2C0916A6"/>
    <w:rsid w:val="2C2FBCE1"/>
    <w:rsid w:val="2C35D5B2"/>
    <w:rsid w:val="2C3CD179"/>
    <w:rsid w:val="2C4BE3A0"/>
    <w:rsid w:val="2C640FC6"/>
    <w:rsid w:val="2C74FBB9"/>
    <w:rsid w:val="2C8709E2"/>
    <w:rsid w:val="2C8FBC6C"/>
    <w:rsid w:val="2CB37C8B"/>
    <w:rsid w:val="2CC6D22A"/>
    <w:rsid w:val="2CCB7D53"/>
    <w:rsid w:val="2CD9D212"/>
    <w:rsid w:val="2D2BBC76"/>
    <w:rsid w:val="2DDC62A6"/>
    <w:rsid w:val="2E0B69CC"/>
    <w:rsid w:val="2E2400FB"/>
    <w:rsid w:val="2E56DD26"/>
    <w:rsid w:val="2E6D3CB1"/>
    <w:rsid w:val="2E74D7F6"/>
    <w:rsid w:val="2ECA69DC"/>
    <w:rsid w:val="2EF3E795"/>
    <w:rsid w:val="2F0259D8"/>
    <w:rsid w:val="2F0A541E"/>
    <w:rsid w:val="2F64DE3B"/>
    <w:rsid w:val="2F8D58D4"/>
    <w:rsid w:val="3073AAAE"/>
    <w:rsid w:val="307474AE"/>
    <w:rsid w:val="3075DB1D"/>
    <w:rsid w:val="30794B90"/>
    <w:rsid w:val="30870D5C"/>
    <w:rsid w:val="309CE6D3"/>
    <w:rsid w:val="30AF408F"/>
    <w:rsid w:val="30D659E9"/>
    <w:rsid w:val="30ED95F7"/>
    <w:rsid w:val="3159B265"/>
    <w:rsid w:val="31AE9185"/>
    <w:rsid w:val="31B77AA5"/>
    <w:rsid w:val="31B9B4E9"/>
    <w:rsid w:val="31C460A0"/>
    <w:rsid w:val="31D35CA2"/>
    <w:rsid w:val="31EC4564"/>
    <w:rsid w:val="31F530A8"/>
    <w:rsid w:val="32BA3FC2"/>
    <w:rsid w:val="32E5BCE3"/>
    <w:rsid w:val="32ECCD68"/>
    <w:rsid w:val="332DFDE8"/>
    <w:rsid w:val="333A5AE9"/>
    <w:rsid w:val="3375CDDF"/>
    <w:rsid w:val="3382431C"/>
    <w:rsid w:val="33AA6CF2"/>
    <w:rsid w:val="33B1801C"/>
    <w:rsid w:val="33C162C8"/>
    <w:rsid w:val="342B5B78"/>
    <w:rsid w:val="3440AC15"/>
    <w:rsid w:val="3487E252"/>
    <w:rsid w:val="34B31027"/>
    <w:rsid w:val="34C27AEB"/>
    <w:rsid w:val="34CF96DE"/>
    <w:rsid w:val="34D972EF"/>
    <w:rsid w:val="350143F6"/>
    <w:rsid w:val="35535284"/>
    <w:rsid w:val="356B15A4"/>
    <w:rsid w:val="35770FA0"/>
    <w:rsid w:val="35D4BFDD"/>
    <w:rsid w:val="36089DF3"/>
    <w:rsid w:val="363371CB"/>
    <w:rsid w:val="36507E51"/>
    <w:rsid w:val="365786D7"/>
    <w:rsid w:val="36750778"/>
    <w:rsid w:val="367D4D86"/>
    <w:rsid w:val="3680630A"/>
    <w:rsid w:val="36AA8784"/>
    <w:rsid w:val="36AB811D"/>
    <w:rsid w:val="36EC43B9"/>
    <w:rsid w:val="3706546F"/>
    <w:rsid w:val="3767B69B"/>
    <w:rsid w:val="37945E8A"/>
    <w:rsid w:val="3794DC08"/>
    <w:rsid w:val="37A7AA9B"/>
    <w:rsid w:val="37B29A01"/>
    <w:rsid w:val="3806CC9D"/>
    <w:rsid w:val="381E8817"/>
    <w:rsid w:val="384753F8"/>
    <w:rsid w:val="387AC5DE"/>
    <w:rsid w:val="387E7D36"/>
    <w:rsid w:val="38D6A051"/>
    <w:rsid w:val="3900E1E6"/>
    <w:rsid w:val="391E7A41"/>
    <w:rsid w:val="392DE61F"/>
    <w:rsid w:val="3945483C"/>
    <w:rsid w:val="3946B16F"/>
    <w:rsid w:val="394A37D2"/>
    <w:rsid w:val="395E2FE8"/>
    <w:rsid w:val="3970FD88"/>
    <w:rsid w:val="39830BE1"/>
    <w:rsid w:val="3983AA8A"/>
    <w:rsid w:val="3A18A735"/>
    <w:rsid w:val="3A19D413"/>
    <w:rsid w:val="3A5D0666"/>
    <w:rsid w:val="3A6232BB"/>
    <w:rsid w:val="3A666C1F"/>
    <w:rsid w:val="3AA0A291"/>
    <w:rsid w:val="3AB490D9"/>
    <w:rsid w:val="3AC4C9DE"/>
    <w:rsid w:val="3ACA218E"/>
    <w:rsid w:val="3AE91B9E"/>
    <w:rsid w:val="3B0092D7"/>
    <w:rsid w:val="3B17A466"/>
    <w:rsid w:val="3B3641A7"/>
    <w:rsid w:val="3BAB645C"/>
    <w:rsid w:val="3BAF82DC"/>
    <w:rsid w:val="3BC3BE11"/>
    <w:rsid w:val="3BC7CE39"/>
    <w:rsid w:val="3BF6BDFD"/>
    <w:rsid w:val="3C0BF6DA"/>
    <w:rsid w:val="3C34C3A6"/>
    <w:rsid w:val="3C5895E8"/>
    <w:rsid w:val="3C5E07E5"/>
    <w:rsid w:val="3C6E86F3"/>
    <w:rsid w:val="3C704084"/>
    <w:rsid w:val="3C977D3A"/>
    <w:rsid w:val="3C9DACBE"/>
    <w:rsid w:val="3CC4DC16"/>
    <w:rsid w:val="3CC96296"/>
    <w:rsid w:val="3CFA5076"/>
    <w:rsid w:val="3D0B047F"/>
    <w:rsid w:val="3D15DB64"/>
    <w:rsid w:val="3D33A104"/>
    <w:rsid w:val="3D3999DE"/>
    <w:rsid w:val="3D807068"/>
    <w:rsid w:val="3DA37304"/>
    <w:rsid w:val="3DC890E6"/>
    <w:rsid w:val="3E3F18C5"/>
    <w:rsid w:val="3E796F46"/>
    <w:rsid w:val="3E9A231D"/>
    <w:rsid w:val="3ECE0475"/>
    <w:rsid w:val="3F451BD7"/>
    <w:rsid w:val="3FCA0D88"/>
    <w:rsid w:val="3FF55DF7"/>
    <w:rsid w:val="400211C3"/>
    <w:rsid w:val="406627CB"/>
    <w:rsid w:val="40B9A60F"/>
    <w:rsid w:val="40D86F84"/>
    <w:rsid w:val="414D6831"/>
    <w:rsid w:val="4154907A"/>
    <w:rsid w:val="417A4FE2"/>
    <w:rsid w:val="418E16ED"/>
    <w:rsid w:val="418EA43C"/>
    <w:rsid w:val="41F45ECE"/>
    <w:rsid w:val="4203EEB5"/>
    <w:rsid w:val="4225ED40"/>
    <w:rsid w:val="424B2505"/>
    <w:rsid w:val="42583FFC"/>
    <w:rsid w:val="425FD24E"/>
    <w:rsid w:val="42812BC1"/>
    <w:rsid w:val="42BCD128"/>
    <w:rsid w:val="42D4B040"/>
    <w:rsid w:val="42FAA7B1"/>
    <w:rsid w:val="4327C530"/>
    <w:rsid w:val="43345191"/>
    <w:rsid w:val="433CE89D"/>
    <w:rsid w:val="435C419F"/>
    <w:rsid w:val="436F189B"/>
    <w:rsid w:val="437078CD"/>
    <w:rsid w:val="43905A23"/>
    <w:rsid w:val="439385CD"/>
    <w:rsid w:val="43ACF49B"/>
    <w:rsid w:val="43CCE30F"/>
    <w:rsid w:val="43D6B770"/>
    <w:rsid w:val="449D7FB7"/>
    <w:rsid w:val="44A4157C"/>
    <w:rsid w:val="44B2AED4"/>
    <w:rsid w:val="45432FB5"/>
    <w:rsid w:val="4561651B"/>
    <w:rsid w:val="456BD797"/>
    <w:rsid w:val="457BA06F"/>
    <w:rsid w:val="4592EDDF"/>
    <w:rsid w:val="459EE1D5"/>
    <w:rsid w:val="45B12858"/>
    <w:rsid w:val="45D517CB"/>
    <w:rsid w:val="45D9CC7F"/>
    <w:rsid w:val="45E6D79A"/>
    <w:rsid w:val="45F7E68B"/>
    <w:rsid w:val="46142B8D"/>
    <w:rsid w:val="4640AC59"/>
    <w:rsid w:val="4644F3BB"/>
    <w:rsid w:val="4651D574"/>
    <w:rsid w:val="4698C21F"/>
    <w:rsid w:val="46A1C3DB"/>
    <w:rsid w:val="47605175"/>
    <w:rsid w:val="4778F326"/>
    <w:rsid w:val="481219D0"/>
    <w:rsid w:val="48444F09"/>
    <w:rsid w:val="4858DA4F"/>
    <w:rsid w:val="48777BF6"/>
    <w:rsid w:val="48ABC424"/>
    <w:rsid w:val="48C2283D"/>
    <w:rsid w:val="48CD4D2C"/>
    <w:rsid w:val="49785866"/>
    <w:rsid w:val="49C17FF3"/>
    <w:rsid w:val="49CEEF09"/>
    <w:rsid w:val="49EFD7B7"/>
    <w:rsid w:val="49F50A39"/>
    <w:rsid w:val="4A2745B0"/>
    <w:rsid w:val="4A3ABC58"/>
    <w:rsid w:val="4A6DF934"/>
    <w:rsid w:val="4AA8DEB5"/>
    <w:rsid w:val="4AB8A35F"/>
    <w:rsid w:val="4ACF817F"/>
    <w:rsid w:val="4AD4021C"/>
    <w:rsid w:val="4AEE684E"/>
    <w:rsid w:val="4B086B0F"/>
    <w:rsid w:val="4B274AF4"/>
    <w:rsid w:val="4B280547"/>
    <w:rsid w:val="4B3745E8"/>
    <w:rsid w:val="4B4D1CA0"/>
    <w:rsid w:val="4BA832F8"/>
    <w:rsid w:val="4BAD16A4"/>
    <w:rsid w:val="4BCFB296"/>
    <w:rsid w:val="4BE615FD"/>
    <w:rsid w:val="4BF0C1D7"/>
    <w:rsid w:val="4BF4136F"/>
    <w:rsid w:val="4C219CA5"/>
    <w:rsid w:val="4C3B72C0"/>
    <w:rsid w:val="4C4FE13C"/>
    <w:rsid w:val="4C542296"/>
    <w:rsid w:val="4C7E02B0"/>
    <w:rsid w:val="4D03D0BE"/>
    <w:rsid w:val="4D13757E"/>
    <w:rsid w:val="4D416605"/>
    <w:rsid w:val="4D9CC531"/>
    <w:rsid w:val="4DA397F7"/>
    <w:rsid w:val="4DABE5A1"/>
    <w:rsid w:val="4DE667F4"/>
    <w:rsid w:val="4E34FF6B"/>
    <w:rsid w:val="4E45C723"/>
    <w:rsid w:val="4E73BD73"/>
    <w:rsid w:val="4E96461C"/>
    <w:rsid w:val="4EB40AF6"/>
    <w:rsid w:val="4ED6EBC4"/>
    <w:rsid w:val="4F28677C"/>
    <w:rsid w:val="4F5CD374"/>
    <w:rsid w:val="4F8C248C"/>
    <w:rsid w:val="4FAEE45A"/>
    <w:rsid w:val="4FD35A46"/>
    <w:rsid w:val="4FF119B1"/>
    <w:rsid w:val="4FFB372C"/>
    <w:rsid w:val="500354B6"/>
    <w:rsid w:val="5019291A"/>
    <w:rsid w:val="5089C9B2"/>
    <w:rsid w:val="509E475B"/>
    <w:rsid w:val="50A65C09"/>
    <w:rsid w:val="50A7476D"/>
    <w:rsid w:val="50B00852"/>
    <w:rsid w:val="50B8534B"/>
    <w:rsid w:val="50C7B90D"/>
    <w:rsid w:val="513244B7"/>
    <w:rsid w:val="51482837"/>
    <w:rsid w:val="515AC694"/>
    <w:rsid w:val="5180DE66"/>
    <w:rsid w:val="51C769B5"/>
    <w:rsid w:val="51D129FD"/>
    <w:rsid w:val="51D59CA6"/>
    <w:rsid w:val="51DC5979"/>
    <w:rsid w:val="51DCE1D9"/>
    <w:rsid w:val="5218D166"/>
    <w:rsid w:val="522ADFFB"/>
    <w:rsid w:val="5235BC49"/>
    <w:rsid w:val="52619553"/>
    <w:rsid w:val="526777F8"/>
    <w:rsid w:val="52A69034"/>
    <w:rsid w:val="52B71F2D"/>
    <w:rsid w:val="52CF96DB"/>
    <w:rsid w:val="52D29902"/>
    <w:rsid w:val="52E3B88B"/>
    <w:rsid w:val="52FFC068"/>
    <w:rsid w:val="5371C242"/>
    <w:rsid w:val="53A41605"/>
    <w:rsid w:val="53E8FB13"/>
    <w:rsid w:val="5405A165"/>
    <w:rsid w:val="542E8E8B"/>
    <w:rsid w:val="545A7C7E"/>
    <w:rsid w:val="5463F64C"/>
    <w:rsid w:val="5470C4EB"/>
    <w:rsid w:val="54717986"/>
    <w:rsid w:val="548556CA"/>
    <w:rsid w:val="54CB45B6"/>
    <w:rsid w:val="5557C469"/>
    <w:rsid w:val="555BEFC8"/>
    <w:rsid w:val="555F0F00"/>
    <w:rsid w:val="556CE6C2"/>
    <w:rsid w:val="55B81FE8"/>
    <w:rsid w:val="55C1EA09"/>
    <w:rsid w:val="55E4C840"/>
    <w:rsid w:val="55E819E7"/>
    <w:rsid w:val="56091A5D"/>
    <w:rsid w:val="56226D8B"/>
    <w:rsid w:val="563A1D97"/>
    <w:rsid w:val="565068F4"/>
    <w:rsid w:val="567A2951"/>
    <w:rsid w:val="567BC6AF"/>
    <w:rsid w:val="5686F9BC"/>
    <w:rsid w:val="573EBAE8"/>
    <w:rsid w:val="57552F78"/>
    <w:rsid w:val="57581F5A"/>
    <w:rsid w:val="5788F709"/>
    <w:rsid w:val="5792326C"/>
    <w:rsid w:val="57BE63B0"/>
    <w:rsid w:val="57D6CFE4"/>
    <w:rsid w:val="5818C5FD"/>
    <w:rsid w:val="58375276"/>
    <w:rsid w:val="58377196"/>
    <w:rsid w:val="58704AC4"/>
    <w:rsid w:val="58BFC71F"/>
    <w:rsid w:val="58C5CA21"/>
    <w:rsid w:val="5915EAAD"/>
    <w:rsid w:val="591722E6"/>
    <w:rsid w:val="59256048"/>
    <w:rsid w:val="594CB4E6"/>
    <w:rsid w:val="5972C0B0"/>
    <w:rsid w:val="5A3F98FF"/>
    <w:rsid w:val="5A477A21"/>
    <w:rsid w:val="5A62E2DE"/>
    <w:rsid w:val="5AB3339D"/>
    <w:rsid w:val="5B0CDF51"/>
    <w:rsid w:val="5B64BE04"/>
    <w:rsid w:val="5B841740"/>
    <w:rsid w:val="5B88EE97"/>
    <w:rsid w:val="5BD375FB"/>
    <w:rsid w:val="5C334F1B"/>
    <w:rsid w:val="5C52AD1B"/>
    <w:rsid w:val="5C7FF655"/>
    <w:rsid w:val="5CA1E8A9"/>
    <w:rsid w:val="5CCF8683"/>
    <w:rsid w:val="5CF0775C"/>
    <w:rsid w:val="5D02ED3F"/>
    <w:rsid w:val="5D07F9D3"/>
    <w:rsid w:val="5E09D927"/>
    <w:rsid w:val="5E4E5D06"/>
    <w:rsid w:val="5E507D4B"/>
    <w:rsid w:val="5E79AC83"/>
    <w:rsid w:val="5EE559FE"/>
    <w:rsid w:val="5F332E3A"/>
    <w:rsid w:val="5F52DAF7"/>
    <w:rsid w:val="5FBCFD2E"/>
    <w:rsid w:val="5FBD5340"/>
    <w:rsid w:val="5FD14D9B"/>
    <w:rsid w:val="6003B86D"/>
    <w:rsid w:val="60081ECF"/>
    <w:rsid w:val="6026064E"/>
    <w:rsid w:val="6062AEBB"/>
    <w:rsid w:val="608F7251"/>
    <w:rsid w:val="610A25B7"/>
    <w:rsid w:val="61280F67"/>
    <w:rsid w:val="61705C38"/>
    <w:rsid w:val="6174E4FD"/>
    <w:rsid w:val="6184B05F"/>
    <w:rsid w:val="618E39E0"/>
    <w:rsid w:val="61BB290E"/>
    <w:rsid w:val="61C26BAF"/>
    <w:rsid w:val="61ED4F34"/>
    <w:rsid w:val="61F9C0BE"/>
    <w:rsid w:val="622110ED"/>
    <w:rsid w:val="6269C601"/>
    <w:rsid w:val="626C6732"/>
    <w:rsid w:val="627239DA"/>
    <w:rsid w:val="62741800"/>
    <w:rsid w:val="6275DE04"/>
    <w:rsid w:val="62CB6E5C"/>
    <w:rsid w:val="631228D1"/>
    <w:rsid w:val="631805E4"/>
    <w:rsid w:val="635B1055"/>
    <w:rsid w:val="63A2D4C4"/>
    <w:rsid w:val="63F0D452"/>
    <w:rsid w:val="640AA8F6"/>
    <w:rsid w:val="6429F16B"/>
    <w:rsid w:val="6485C6EF"/>
    <w:rsid w:val="648FE5EA"/>
    <w:rsid w:val="64A5CF7D"/>
    <w:rsid w:val="64CB4CE9"/>
    <w:rsid w:val="64DFE77C"/>
    <w:rsid w:val="651E4CCE"/>
    <w:rsid w:val="6532386B"/>
    <w:rsid w:val="6594CDE5"/>
    <w:rsid w:val="65D0B3E8"/>
    <w:rsid w:val="6607D643"/>
    <w:rsid w:val="662C0FA8"/>
    <w:rsid w:val="6635FACA"/>
    <w:rsid w:val="6642711B"/>
    <w:rsid w:val="66505628"/>
    <w:rsid w:val="6684D68B"/>
    <w:rsid w:val="66A888E3"/>
    <w:rsid w:val="671424E0"/>
    <w:rsid w:val="67776C18"/>
    <w:rsid w:val="67A5E29A"/>
    <w:rsid w:val="67DB1045"/>
    <w:rsid w:val="68098186"/>
    <w:rsid w:val="680D2E5B"/>
    <w:rsid w:val="68182DF8"/>
    <w:rsid w:val="6858C8C5"/>
    <w:rsid w:val="6859BEAC"/>
    <w:rsid w:val="685EFCE3"/>
    <w:rsid w:val="68624505"/>
    <w:rsid w:val="68663E4B"/>
    <w:rsid w:val="689EB1F1"/>
    <w:rsid w:val="68A91B7B"/>
    <w:rsid w:val="693BDE6E"/>
    <w:rsid w:val="6970BAAF"/>
    <w:rsid w:val="698A8705"/>
    <w:rsid w:val="69A05D90"/>
    <w:rsid w:val="69AB8836"/>
    <w:rsid w:val="69B7A283"/>
    <w:rsid w:val="69FFF72B"/>
    <w:rsid w:val="6A3DD995"/>
    <w:rsid w:val="6A6F2C66"/>
    <w:rsid w:val="6ABED1E6"/>
    <w:rsid w:val="6AC436C0"/>
    <w:rsid w:val="6B1F722D"/>
    <w:rsid w:val="6B48E5DF"/>
    <w:rsid w:val="6B560405"/>
    <w:rsid w:val="6B5C5180"/>
    <w:rsid w:val="6B97044C"/>
    <w:rsid w:val="6C1EA676"/>
    <w:rsid w:val="6C3241AC"/>
    <w:rsid w:val="6C35157B"/>
    <w:rsid w:val="6C4574F2"/>
    <w:rsid w:val="6C56F266"/>
    <w:rsid w:val="6C960888"/>
    <w:rsid w:val="6CA29330"/>
    <w:rsid w:val="6CB18F32"/>
    <w:rsid w:val="6CB8F905"/>
    <w:rsid w:val="6CE51718"/>
    <w:rsid w:val="6CFCB006"/>
    <w:rsid w:val="6D002F5D"/>
    <w:rsid w:val="6D15A4BA"/>
    <w:rsid w:val="6D2E3A88"/>
    <w:rsid w:val="6D632844"/>
    <w:rsid w:val="6DC4286B"/>
    <w:rsid w:val="6DDCF881"/>
    <w:rsid w:val="6E24C242"/>
    <w:rsid w:val="6E4580FD"/>
    <w:rsid w:val="6E4A93D4"/>
    <w:rsid w:val="6E651A3C"/>
    <w:rsid w:val="6E828ED7"/>
    <w:rsid w:val="6EAEBF93"/>
    <w:rsid w:val="6EB68E22"/>
    <w:rsid w:val="6EC8C974"/>
    <w:rsid w:val="6F25FE4B"/>
    <w:rsid w:val="6F48193A"/>
    <w:rsid w:val="6F64D983"/>
    <w:rsid w:val="6F7E5925"/>
    <w:rsid w:val="6F921174"/>
    <w:rsid w:val="7008B3DA"/>
    <w:rsid w:val="701B10A8"/>
    <w:rsid w:val="7042CADF"/>
    <w:rsid w:val="70BEA8D4"/>
    <w:rsid w:val="70C2AE95"/>
    <w:rsid w:val="70C3D83B"/>
    <w:rsid w:val="70CD1EC0"/>
    <w:rsid w:val="7108C79F"/>
    <w:rsid w:val="710AE05F"/>
    <w:rsid w:val="711892A0"/>
    <w:rsid w:val="716DC1E4"/>
    <w:rsid w:val="717719F1"/>
    <w:rsid w:val="71A5FEB4"/>
    <w:rsid w:val="71D761D7"/>
    <w:rsid w:val="71FDCA5E"/>
    <w:rsid w:val="72150668"/>
    <w:rsid w:val="72193CD3"/>
    <w:rsid w:val="721E2881"/>
    <w:rsid w:val="727103CA"/>
    <w:rsid w:val="728C148F"/>
    <w:rsid w:val="72996B49"/>
    <w:rsid w:val="72B3E260"/>
    <w:rsid w:val="72B7107E"/>
    <w:rsid w:val="72CA6794"/>
    <w:rsid w:val="7305A22F"/>
    <w:rsid w:val="730C5620"/>
    <w:rsid w:val="7365ECE7"/>
    <w:rsid w:val="73772310"/>
    <w:rsid w:val="73985F7D"/>
    <w:rsid w:val="73A1CEA3"/>
    <w:rsid w:val="73C69103"/>
    <w:rsid w:val="73EA0B47"/>
    <w:rsid w:val="73FE70C9"/>
    <w:rsid w:val="74028E30"/>
    <w:rsid w:val="7419D2AB"/>
    <w:rsid w:val="741C62B8"/>
    <w:rsid w:val="7478B4FD"/>
    <w:rsid w:val="747E0F10"/>
    <w:rsid w:val="748F721C"/>
    <w:rsid w:val="74D26B6D"/>
    <w:rsid w:val="7506401F"/>
    <w:rsid w:val="75AE2FAC"/>
    <w:rsid w:val="7674F7A6"/>
    <w:rsid w:val="76C58C5F"/>
    <w:rsid w:val="76D3C647"/>
    <w:rsid w:val="76D9DE7F"/>
    <w:rsid w:val="76EA8D63"/>
    <w:rsid w:val="76EF5114"/>
    <w:rsid w:val="773B64E4"/>
    <w:rsid w:val="777F7928"/>
    <w:rsid w:val="77B9953E"/>
    <w:rsid w:val="77BB240E"/>
    <w:rsid w:val="77C5BA16"/>
    <w:rsid w:val="77C8F493"/>
    <w:rsid w:val="77EAEC7F"/>
    <w:rsid w:val="77FD4A1E"/>
    <w:rsid w:val="7801DE56"/>
    <w:rsid w:val="7885F363"/>
    <w:rsid w:val="78B0A9A2"/>
    <w:rsid w:val="78D6E3A6"/>
    <w:rsid w:val="78F5D281"/>
    <w:rsid w:val="79071E68"/>
    <w:rsid w:val="7914886C"/>
    <w:rsid w:val="7949695D"/>
    <w:rsid w:val="79B98B0D"/>
    <w:rsid w:val="79DD325A"/>
    <w:rsid w:val="7A2482EE"/>
    <w:rsid w:val="7A4D29FB"/>
    <w:rsid w:val="7A4D3695"/>
    <w:rsid w:val="7A5A968A"/>
    <w:rsid w:val="7A629106"/>
    <w:rsid w:val="7AA8C92F"/>
    <w:rsid w:val="7AF2BE7F"/>
    <w:rsid w:val="7B1576EF"/>
    <w:rsid w:val="7B46A030"/>
    <w:rsid w:val="7B663726"/>
    <w:rsid w:val="7B913B17"/>
    <w:rsid w:val="7BA1D98D"/>
    <w:rsid w:val="7BA4F8B2"/>
    <w:rsid w:val="7BD458A9"/>
    <w:rsid w:val="7C0524E5"/>
    <w:rsid w:val="7C0B03E8"/>
    <w:rsid w:val="7C5DB328"/>
    <w:rsid w:val="7C791606"/>
    <w:rsid w:val="7CF73E32"/>
    <w:rsid w:val="7D554675"/>
    <w:rsid w:val="7D5E0E1C"/>
    <w:rsid w:val="7D71D2FC"/>
    <w:rsid w:val="7D7F2ED9"/>
    <w:rsid w:val="7D927057"/>
    <w:rsid w:val="7D95F05E"/>
    <w:rsid w:val="7DA9486B"/>
    <w:rsid w:val="7DB87F98"/>
    <w:rsid w:val="7DEAB2A7"/>
    <w:rsid w:val="7DFF875F"/>
    <w:rsid w:val="7E0E94EC"/>
    <w:rsid w:val="7E27B219"/>
    <w:rsid w:val="7E4F13B8"/>
    <w:rsid w:val="7EBD6889"/>
    <w:rsid w:val="7EC966E2"/>
    <w:rsid w:val="7F24051C"/>
    <w:rsid w:val="7F6CF0B7"/>
    <w:rsid w:val="7F720C2F"/>
    <w:rsid w:val="7F914C36"/>
    <w:rsid w:val="7F9C493A"/>
    <w:rsid w:val="7FA2C187"/>
    <w:rsid w:val="7FA7B43F"/>
    <w:rsid w:val="7FCA3BB9"/>
    <w:rsid w:val="7FFAED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12963"/>
  <w15:chartTrackingRefBased/>
  <w15:docId w15:val="{F32ED174-EEDA-4EAB-BC73-1157F384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7C6"/>
  </w:style>
  <w:style w:type="paragraph" w:styleId="Heading1">
    <w:name w:val="heading 1"/>
    <w:basedOn w:val="Normal"/>
    <w:next w:val="Normal"/>
    <w:link w:val="Heading1Char"/>
    <w:uiPriority w:val="9"/>
    <w:qFormat/>
    <w:rsid w:val="00967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67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67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7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7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7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67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67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7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7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7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8D3"/>
    <w:rPr>
      <w:rFonts w:eastAsiaTheme="majorEastAsia" w:cstheme="majorBidi"/>
      <w:color w:val="272727" w:themeColor="text1" w:themeTint="D8"/>
    </w:rPr>
  </w:style>
  <w:style w:type="paragraph" w:styleId="Title">
    <w:name w:val="Title"/>
    <w:basedOn w:val="Normal"/>
    <w:next w:val="Normal"/>
    <w:link w:val="TitleChar"/>
    <w:uiPriority w:val="10"/>
    <w:qFormat/>
    <w:rsid w:val="00967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8D3"/>
    <w:pPr>
      <w:spacing w:before="160"/>
      <w:jc w:val="center"/>
    </w:pPr>
    <w:rPr>
      <w:i/>
      <w:iCs/>
      <w:color w:val="404040" w:themeColor="text1" w:themeTint="BF"/>
    </w:rPr>
  </w:style>
  <w:style w:type="character" w:customStyle="1" w:styleId="QuoteChar">
    <w:name w:val="Quote Char"/>
    <w:basedOn w:val="DefaultParagraphFont"/>
    <w:link w:val="Quote"/>
    <w:uiPriority w:val="29"/>
    <w:rsid w:val="009678D3"/>
    <w:rPr>
      <w:i/>
      <w:iCs/>
      <w:color w:val="404040" w:themeColor="text1" w:themeTint="BF"/>
    </w:rPr>
  </w:style>
  <w:style w:type="paragraph" w:styleId="ListParagraph">
    <w:name w:val="List Paragraph"/>
    <w:basedOn w:val="Normal"/>
    <w:uiPriority w:val="34"/>
    <w:qFormat/>
    <w:rsid w:val="009678D3"/>
    <w:pPr>
      <w:ind w:left="720"/>
      <w:contextualSpacing/>
    </w:pPr>
  </w:style>
  <w:style w:type="character" w:styleId="IntenseEmphasis">
    <w:name w:val="Intense Emphasis"/>
    <w:basedOn w:val="DefaultParagraphFont"/>
    <w:uiPriority w:val="21"/>
    <w:qFormat/>
    <w:rsid w:val="009678D3"/>
    <w:rPr>
      <w:i/>
      <w:iCs/>
      <w:color w:val="2F5496" w:themeColor="accent1" w:themeShade="BF"/>
    </w:rPr>
  </w:style>
  <w:style w:type="paragraph" w:styleId="IntenseQuote">
    <w:name w:val="Intense Quote"/>
    <w:basedOn w:val="Normal"/>
    <w:next w:val="Normal"/>
    <w:link w:val="IntenseQuoteChar"/>
    <w:uiPriority w:val="30"/>
    <w:qFormat/>
    <w:rsid w:val="00967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78D3"/>
    <w:rPr>
      <w:i/>
      <w:iCs/>
      <w:color w:val="2F5496" w:themeColor="accent1" w:themeShade="BF"/>
    </w:rPr>
  </w:style>
  <w:style w:type="character" w:styleId="IntenseReference">
    <w:name w:val="Intense Reference"/>
    <w:basedOn w:val="DefaultParagraphFont"/>
    <w:uiPriority w:val="32"/>
    <w:qFormat/>
    <w:rsid w:val="009678D3"/>
    <w:rPr>
      <w:b/>
      <w:bCs/>
      <w:smallCaps/>
      <w:color w:val="2F5496" w:themeColor="accent1" w:themeShade="BF"/>
      <w:spacing w:val="5"/>
    </w:rPr>
  </w:style>
  <w:style w:type="character" w:styleId="FootnoteReference">
    <w:name w:val="footnote reference"/>
    <w:basedOn w:val="DefaultParagraphFont"/>
    <w:uiPriority w:val="99"/>
    <w:semiHidden/>
    <w:unhideWhenUsed/>
    <w:rsid w:val="00A355BA"/>
    <w:rPr>
      <w:vertAlign w:val="superscript"/>
    </w:rPr>
  </w:style>
  <w:style w:type="paragraph" w:styleId="FootnoteText">
    <w:name w:val="footnote text"/>
    <w:basedOn w:val="Normal"/>
    <w:link w:val="FootnoteTextChar"/>
    <w:uiPriority w:val="99"/>
    <w:unhideWhenUsed/>
    <w:rsid w:val="0021479F"/>
    <w:pPr>
      <w:spacing w:after="0" w:line="240" w:lineRule="auto"/>
    </w:pPr>
    <w:rPr>
      <w:sz w:val="20"/>
      <w:szCs w:val="20"/>
    </w:rPr>
  </w:style>
  <w:style w:type="character" w:customStyle="1" w:styleId="FootnoteTextChar">
    <w:name w:val="Footnote Text Char"/>
    <w:basedOn w:val="DefaultParagraphFont"/>
    <w:link w:val="FootnoteText"/>
    <w:uiPriority w:val="99"/>
    <w:rsid w:val="0021479F"/>
    <w:rPr>
      <w:sz w:val="20"/>
      <w:szCs w:val="20"/>
    </w:rPr>
  </w:style>
  <w:style w:type="character" w:styleId="Hyperlink">
    <w:name w:val="Hyperlink"/>
    <w:basedOn w:val="DefaultParagraphFont"/>
    <w:uiPriority w:val="99"/>
    <w:unhideWhenUsed/>
    <w:rsid w:val="006561AC"/>
    <w:rPr>
      <w:color w:val="0563C1" w:themeColor="hyperlink"/>
      <w:u w:val="single"/>
    </w:rPr>
  </w:style>
  <w:style w:type="character" w:styleId="UnresolvedMention">
    <w:name w:val="Unresolved Mention"/>
    <w:basedOn w:val="DefaultParagraphFont"/>
    <w:uiPriority w:val="99"/>
    <w:semiHidden/>
    <w:unhideWhenUsed/>
    <w:rsid w:val="006561AC"/>
    <w:rPr>
      <w:color w:val="605E5C"/>
      <w:shd w:val="clear" w:color="auto" w:fill="E1DFDD"/>
    </w:rPr>
  </w:style>
  <w:style w:type="paragraph" w:styleId="ListBullet">
    <w:name w:val="List Bullet"/>
    <w:basedOn w:val="Normal"/>
    <w:uiPriority w:val="99"/>
    <w:unhideWhenUsed/>
    <w:rsid w:val="009C0ED1"/>
    <w:pPr>
      <w:numPr>
        <w:numId w:val="5"/>
      </w:numPr>
      <w:contextualSpacing/>
    </w:pPr>
  </w:style>
  <w:style w:type="character" w:styleId="FollowedHyperlink">
    <w:name w:val="FollowedHyperlink"/>
    <w:basedOn w:val="DefaultParagraphFont"/>
    <w:uiPriority w:val="99"/>
    <w:semiHidden/>
    <w:unhideWhenUsed/>
    <w:rsid w:val="0091224A"/>
    <w:rPr>
      <w:color w:val="954F72" w:themeColor="followedHyperlink"/>
      <w:u w:val="single"/>
    </w:rPr>
  </w:style>
  <w:style w:type="character" w:styleId="CommentReference">
    <w:name w:val="annotation reference"/>
    <w:basedOn w:val="DefaultParagraphFont"/>
    <w:uiPriority w:val="99"/>
    <w:semiHidden/>
    <w:unhideWhenUsed/>
    <w:rsid w:val="004E3317"/>
    <w:rPr>
      <w:sz w:val="16"/>
      <w:szCs w:val="16"/>
    </w:rPr>
  </w:style>
  <w:style w:type="paragraph" w:styleId="CommentText">
    <w:name w:val="annotation text"/>
    <w:basedOn w:val="Normal"/>
    <w:link w:val="CommentTextChar"/>
    <w:uiPriority w:val="99"/>
    <w:unhideWhenUsed/>
    <w:rsid w:val="004E3317"/>
    <w:pPr>
      <w:spacing w:line="240" w:lineRule="auto"/>
    </w:pPr>
    <w:rPr>
      <w:sz w:val="20"/>
      <w:szCs w:val="20"/>
    </w:rPr>
  </w:style>
  <w:style w:type="character" w:customStyle="1" w:styleId="CommentTextChar">
    <w:name w:val="Comment Text Char"/>
    <w:basedOn w:val="DefaultParagraphFont"/>
    <w:link w:val="CommentText"/>
    <w:uiPriority w:val="99"/>
    <w:rsid w:val="004E3317"/>
    <w:rPr>
      <w:sz w:val="20"/>
      <w:szCs w:val="20"/>
    </w:rPr>
  </w:style>
  <w:style w:type="paragraph" w:styleId="CommentSubject">
    <w:name w:val="annotation subject"/>
    <w:basedOn w:val="CommentText"/>
    <w:next w:val="CommentText"/>
    <w:link w:val="CommentSubjectChar"/>
    <w:uiPriority w:val="99"/>
    <w:semiHidden/>
    <w:unhideWhenUsed/>
    <w:rsid w:val="004E3317"/>
    <w:rPr>
      <w:b/>
      <w:bCs/>
    </w:rPr>
  </w:style>
  <w:style w:type="character" w:customStyle="1" w:styleId="CommentSubjectChar">
    <w:name w:val="Comment Subject Char"/>
    <w:basedOn w:val="CommentTextChar"/>
    <w:link w:val="CommentSubject"/>
    <w:uiPriority w:val="99"/>
    <w:semiHidden/>
    <w:rsid w:val="004E3317"/>
    <w:rPr>
      <w:b/>
      <w:bCs/>
      <w:sz w:val="20"/>
      <w:szCs w:val="20"/>
    </w:rPr>
  </w:style>
  <w:style w:type="paragraph" w:styleId="NoSpacing">
    <w:name w:val="No Spacing"/>
    <w:uiPriority w:val="1"/>
    <w:qFormat/>
    <w:rsid w:val="00F21B51"/>
    <w:pPr>
      <w:spacing w:after="0" w:line="240" w:lineRule="auto"/>
    </w:pPr>
    <w:rPr>
      <w:rFonts w:ascii="Calibri" w:eastAsia="Calibri" w:hAnsi="Calibri" w:cs="Times New Roman"/>
      <w:lang w:val="en-AU"/>
    </w:rPr>
  </w:style>
  <w:style w:type="paragraph" w:styleId="Header">
    <w:name w:val="header"/>
    <w:basedOn w:val="Normal"/>
    <w:link w:val="HeaderChar"/>
    <w:uiPriority w:val="99"/>
    <w:unhideWhenUsed/>
    <w:rsid w:val="00340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1DA"/>
  </w:style>
  <w:style w:type="paragraph" w:styleId="Footer">
    <w:name w:val="footer"/>
    <w:basedOn w:val="Normal"/>
    <w:link w:val="FooterChar"/>
    <w:uiPriority w:val="99"/>
    <w:unhideWhenUsed/>
    <w:rsid w:val="00340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1DA"/>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571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7">
      <w:bodyDiv w:val="1"/>
      <w:marLeft w:val="0"/>
      <w:marRight w:val="0"/>
      <w:marTop w:val="0"/>
      <w:marBottom w:val="0"/>
      <w:divBdr>
        <w:top w:val="none" w:sz="0" w:space="0" w:color="auto"/>
        <w:left w:val="none" w:sz="0" w:space="0" w:color="auto"/>
        <w:bottom w:val="none" w:sz="0" w:space="0" w:color="auto"/>
        <w:right w:val="none" w:sz="0" w:space="0" w:color="auto"/>
      </w:divBdr>
    </w:div>
    <w:div w:id="61220769">
      <w:bodyDiv w:val="1"/>
      <w:marLeft w:val="0"/>
      <w:marRight w:val="0"/>
      <w:marTop w:val="0"/>
      <w:marBottom w:val="0"/>
      <w:divBdr>
        <w:top w:val="none" w:sz="0" w:space="0" w:color="auto"/>
        <w:left w:val="none" w:sz="0" w:space="0" w:color="auto"/>
        <w:bottom w:val="none" w:sz="0" w:space="0" w:color="auto"/>
        <w:right w:val="none" w:sz="0" w:space="0" w:color="auto"/>
      </w:divBdr>
      <w:divsChild>
        <w:div w:id="1001010837">
          <w:marLeft w:val="0"/>
          <w:marRight w:val="0"/>
          <w:marTop w:val="0"/>
          <w:marBottom w:val="0"/>
          <w:divBdr>
            <w:top w:val="none" w:sz="0" w:space="0" w:color="auto"/>
            <w:left w:val="none" w:sz="0" w:space="0" w:color="auto"/>
            <w:bottom w:val="none" w:sz="0" w:space="0" w:color="auto"/>
            <w:right w:val="none" w:sz="0" w:space="0" w:color="auto"/>
          </w:divBdr>
        </w:div>
      </w:divsChild>
    </w:div>
    <w:div w:id="65537609">
      <w:bodyDiv w:val="1"/>
      <w:marLeft w:val="0"/>
      <w:marRight w:val="0"/>
      <w:marTop w:val="0"/>
      <w:marBottom w:val="0"/>
      <w:divBdr>
        <w:top w:val="none" w:sz="0" w:space="0" w:color="auto"/>
        <w:left w:val="none" w:sz="0" w:space="0" w:color="auto"/>
        <w:bottom w:val="none" w:sz="0" w:space="0" w:color="auto"/>
        <w:right w:val="none" w:sz="0" w:space="0" w:color="auto"/>
      </w:divBdr>
    </w:div>
    <w:div w:id="104540441">
      <w:bodyDiv w:val="1"/>
      <w:marLeft w:val="0"/>
      <w:marRight w:val="0"/>
      <w:marTop w:val="0"/>
      <w:marBottom w:val="0"/>
      <w:divBdr>
        <w:top w:val="none" w:sz="0" w:space="0" w:color="auto"/>
        <w:left w:val="none" w:sz="0" w:space="0" w:color="auto"/>
        <w:bottom w:val="none" w:sz="0" w:space="0" w:color="auto"/>
        <w:right w:val="none" w:sz="0" w:space="0" w:color="auto"/>
      </w:divBdr>
      <w:divsChild>
        <w:div w:id="676151934">
          <w:marLeft w:val="0"/>
          <w:marRight w:val="0"/>
          <w:marTop w:val="0"/>
          <w:marBottom w:val="0"/>
          <w:divBdr>
            <w:top w:val="none" w:sz="0" w:space="0" w:color="auto"/>
            <w:left w:val="none" w:sz="0" w:space="0" w:color="auto"/>
            <w:bottom w:val="none" w:sz="0" w:space="0" w:color="auto"/>
            <w:right w:val="none" w:sz="0" w:space="0" w:color="auto"/>
          </w:divBdr>
        </w:div>
      </w:divsChild>
    </w:div>
    <w:div w:id="106504907">
      <w:bodyDiv w:val="1"/>
      <w:marLeft w:val="0"/>
      <w:marRight w:val="0"/>
      <w:marTop w:val="0"/>
      <w:marBottom w:val="0"/>
      <w:divBdr>
        <w:top w:val="none" w:sz="0" w:space="0" w:color="auto"/>
        <w:left w:val="none" w:sz="0" w:space="0" w:color="auto"/>
        <w:bottom w:val="none" w:sz="0" w:space="0" w:color="auto"/>
        <w:right w:val="none" w:sz="0" w:space="0" w:color="auto"/>
      </w:divBdr>
      <w:divsChild>
        <w:div w:id="391469112">
          <w:marLeft w:val="0"/>
          <w:marRight w:val="0"/>
          <w:marTop w:val="0"/>
          <w:marBottom w:val="0"/>
          <w:divBdr>
            <w:top w:val="none" w:sz="0" w:space="0" w:color="auto"/>
            <w:left w:val="none" w:sz="0" w:space="0" w:color="auto"/>
            <w:bottom w:val="none" w:sz="0" w:space="0" w:color="auto"/>
            <w:right w:val="none" w:sz="0" w:space="0" w:color="auto"/>
          </w:divBdr>
        </w:div>
      </w:divsChild>
    </w:div>
    <w:div w:id="150606143">
      <w:bodyDiv w:val="1"/>
      <w:marLeft w:val="0"/>
      <w:marRight w:val="0"/>
      <w:marTop w:val="0"/>
      <w:marBottom w:val="0"/>
      <w:divBdr>
        <w:top w:val="none" w:sz="0" w:space="0" w:color="auto"/>
        <w:left w:val="none" w:sz="0" w:space="0" w:color="auto"/>
        <w:bottom w:val="none" w:sz="0" w:space="0" w:color="auto"/>
        <w:right w:val="none" w:sz="0" w:space="0" w:color="auto"/>
      </w:divBdr>
    </w:div>
    <w:div w:id="161966649">
      <w:bodyDiv w:val="1"/>
      <w:marLeft w:val="0"/>
      <w:marRight w:val="0"/>
      <w:marTop w:val="0"/>
      <w:marBottom w:val="0"/>
      <w:divBdr>
        <w:top w:val="none" w:sz="0" w:space="0" w:color="auto"/>
        <w:left w:val="none" w:sz="0" w:space="0" w:color="auto"/>
        <w:bottom w:val="none" w:sz="0" w:space="0" w:color="auto"/>
        <w:right w:val="none" w:sz="0" w:space="0" w:color="auto"/>
      </w:divBdr>
      <w:divsChild>
        <w:div w:id="1486584107">
          <w:marLeft w:val="0"/>
          <w:marRight w:val="0"/>
          <w:marTop w:val="0"/>
          <w:marBottom w:val="0"/>
          <w:divBdr>
            <w:top w:val="none" w:sz="0" w:space="0" w:color="auto"/>
            <w:left w:val="none" w:sz="0" w:space="0" w:color="auto"/>
            <w:bottom w:val="none" w:sz="0" w:space="0" w:color="auto"/>
            <w:right w:val="none" w:sz="0" w:space="0" w:color="auto"/>
          </w:divBdr>
        </w:div>
      </w:divsChild>
    </w:div>
    <w:div w:id="185413564">
      <w:bodyDiv w:val="1"/>
      <w:marLeft w:val="0"/>
      <w:marRight w:val="0"/>
      <w:marTop w:val="0"/>
      <w:marBottom w:val="0"/>
      <w:divBdr>
        <w:top w:val="none" w:sz="0" w:space="0" w:color="auto"/>
        <w:left w:val="none" w:sz="0" w:space="0" w:color="auto"/>
        <w:bottom w:val="none" w:sz="0" w:space="0" w:color="auto"/>
        <w:right w:val="none" w:sz="0" w:space="0" w:color="auto"/>
      </w:divBdr>
      <w:divsChild>
        <w:div w:id="1594631488">
          <w:marLeft w:val="0"/>
          <w:marRight w:val="0"/>
          <w:marTop w:val="0"/>
          <w:marBottom w:val="0"/>
          <w:divBdr>
            <w:top w:val="none" w:sz="0" w:space="0" w:color="auto"/>
            <w:left w:val="none" w:sz="0" w:space="0" w:color="auto"/>
            <w:bottom w:val="none" w:sz="0" w:space="0" w:color="auto"/>
            <w:right w:val="none" w:sz="0" w:space="0" w:color="auto"/>
          </w:divBdr>
        </w:div>
      </w:divsChild>
    </w:div>
    <w:div w:id="187255988">
      <w:bodyDiv w:val="1"/>
      <w:marLeft w:val="0"/>
      <w:marRight w:val="0"/>
      <w:marTop w:val="0"/>
      <w:marBottom w:val="0"/>
      <w:divBdr>
        <w:top w:val="none" w:sz="0" w:space="0" w:color="auto"/>
        <w:left w:val="none" w:sz="0" w:space="0" w:color="auto"/>
        <w:bottom w:val="none" w:sz="0" w:space="0" w:color="auto"/>
        <w:right w:val="none" w:sz="0" w:space="0" w:color="auto"/>
      </w:divBdr>
      <w:divsChild>
        <w:div w:id="315187707">
          <w:marLeft w:val="0"/>
          <w:marRight w:val="0"/>
          <w:marTop w:val="0"/>
          <w:marBottom w:val="0"/>
          <w:divBdr>
            <w:top w:val="none" w:sz="0" w:space="0" w:color="auto"/>
            <w:left w:val="none" w:sz="0" w:space="0" w:color="auto"/>
            <w:bottom w:val="none" w:sz="0" w:space="0" w:color="auto"/>
            <w:right w:val="none" w:sz="0" w:space="0" w:color="auto"/>
          </w:divBdr>
        </w:div>
      </w:divsChild>
    </w:div>
    <w:div w:id="191769867">
      <w:bodyDiv w:val="1"/>
      <w:marLeft w:val="0"/>
      <w:marRight w:val="0"/>
      <w:marTop w:val="0"/>
      <w:marBottom w:val="0"/>
      <w:divBdr>
        <w:top w:val="none" w:sz="0" w:space="0" w:color="auto"/>
        <w:left w:val="none" w:sz="0" w:space="0" w:color="auto"/>
        <w:bottom w:val="none" w:sz="0" w:space="0" w:color="auto"/>
        <w:right w:val="none" w:sz="0" w:space="0" w:color="auto"/>
      </w:divBdr>
    </w:div>
    <w:div w:id="199126800">
      <w:bodyDiv w:val="1"/>
      <w:marLeft w:val="0"/>
      <w:marRight w:val="0"/>
      <w:marTop w:val="0"/>
      <w:marBottom w:val="0"/>
      <w:divBdr>
        <w:top w:val="none" w:sz="0" w:space="0" w:color="auto"/>
        <w:left w:val="none" w:sz="0" w:space="0" w:color="auto"/>
        <w:bottom w:val="none" w:sz="0" w:space="0" w:color="auto"/>
        <w:right w:val="none" w:sz="0" w:space="0" w:color="auto"/>
      </w:divBdr>
    </w:div>
    <w:div w:id="215240194">
      <w:bodyDiv w:val="1"/>
      <w:marLeft w:val="0"/>
      <w:marRight w:val="0"/>
      <w:marTop w:val="0"/>
      <w:marBottom w:val="0"/>
      <w:divBdr>
        <w:top w:val="none" w:sz="0" w:space="0" w:color="auto"/>
        <w:left w:val="none" w:sz="0" w:space="0" w:color="auto"/>
        <w:bottom w:val="none" w:sz="0" w:space="0" w:color="auto"/>
        <w:right w:val="none" w:sz="0" w:space="0" w:color="auto"/>
      </w:divBdr>
    </w:div>
    <w:div w:id="216556516">
      <w:bodyDiv w:val="1"/>
      <w:marLeft w:val="0"/>
      <w:marRight w:val="0"/>
      <w:marTop w:val="0"/>
      <w:marBottom w:val="0"/>
      <w:divBdr>
        <w:top w:val="none" w:sz="0" w:space="0" w:color="auto"/>
        <w:left w:val="none" w:sz="0" w:space="0" w:color="auto"/>
        <w:bottom w:val="none" w:sz="0" w:space="0" w:color="auto"/>
        <w:right w:val="none" w:sz="0" w:space="0" w:color="auto"/>
      </w:divBdr>
      <w:divsChild>
        <w:div w:id="594286751">
          <w:marLeft w:val="0"/>
          <w:marRight w:val="0"/>
          <w:marTop w:val="0"/>
          <w:marBottom w:val="0"/>
          <w:divBdr>
            <w:top w:val="none" w:sz="0" w:space="0" w:color="auto"/>
            <w:left w:val="none" w:sz="0" w:space="0" w:color="auto"/>
            <w:bottom w:val="none" w:sz="0" w:space="0" w:color="auto"/>
            <w:right w:val="none" w:sz="0" w:space="0" w:color="auto"/>
          </w:divBdr>
        </w:div>
      </w:divsChild>
    </w:div>
    <w:div w:id="251663390">
      <w:bodyDiv w:val="1"/>
      <w:marLeft w:val="0"/>
      <w:marRight w:val="0"/>
      <w:marTop w:val="0"/>
      <w:marBottom w:val="0"/>
      <w:divBdr>
        <w:top w:val="none" w:sz="0" w:space="0" w:color="auto"/>
        <w:left w:val="none" w:sz="0" w:space="0" w:color="auto"/>
        <w:bottom w:val="none" w:sz="0" w:space="0" w:color="auto"/>
        <w:right w:val="none" w:sz="0" w:space="0" w:color="auto"/>
      </w:divBdr>
      <w:divsChild>
        <w:div w:id="814026440">
          <w:marLeft w:val="0"/>
          <w:marRight w:val="0"/>
          <w:marTop w:val="0"/>
          <w:marBottom w:val="0"/>
          <w:divBdr>
            <w:top w:val="none" w:sz="0" w:space="0" w:color="auto"/>
            <w:left w:val="none" w:sz="0" w:space="0" w:color="auto"/>
            <w:bottom w:val="none" w:sz="0" w:space="0" w:color="auto"/>
            <w:right w:val="none" w:sz="0" w:space="0" w:color="auto"/>
          </w:divBdr>
        </w:div>
      </w:divsChild>
    </w:div>
    <w:div w:id="300230101">
      <w:bodyDiv w:val="1"/>
      <w:marLeft w:val="0"/>
      <w:marRight w:val="0"/>
      <w:marTop w:val="0"/>
      <w:marBottom w:val="0"/>
      <w:divBdr>
        <w:top w:val="none" w:sz="0" w:space="0" w:color="auto"/>
        <w:left w:val="none" w:sz="0" w:space="0" w:color="auto"/>
        <w:bottom w:val="none" w:sz="0" w:space="0" w:color="auto"/>
        <w:right w:val="none" w:sz="0" w:space="0" w:color="auto"/>
      </w:divBdr>
      <w:divsChild>
        <w:div w:id="1766612872">
          <w:marLeft w:val="0"/>
          <w:marRight w:val="0"/>
          <w:marTop w:val="0"/>
          <w:marBottom w:val="0"/>
          <w:divBdr>
            <w:top w:val="none" w:sz="0" w:space="0" w:color="auto"/>
            <w:left w:val="none" w:sz="0" w:space="0" w:color="auto"/>
            <w:bottom w:val="none" w:sz="0" w:space="0" w:color="auto"/>
            <w:right w:val="none" w:sz="0" w:space="0" w:color="auto"/>
          </w:divBdr>
        </w:div>
      </w:divsChild>
    </w:div>
    <w:div w:id="334266314">
      <w:bodyDiv w:val="1"/>
      <w:marLeft w:val="0"/>
      <w:marRight w:val="0"/>
      <w:marTop w:val="0"/>
      <w:marBottom w:val="0"/>
      <w:divBdr>
        <w:top w:val="none" w:sz="0" w:space="0" w:color="auto"/>
        <w:left w:val="none" w:sz="0" w:space="0" w:color="auto"/>
        <w:bottom w:val="none" w:sz="0" w:space="0" w:color="auto"/>
        <w:right w:val="none" w:sz="0" w:space="0" w:color="auto"/>
      </w:divBdr>
    </w:div>
    <w:div w:id="373040676">
      <w:bodyDiv w:val="1"/>
      <w:marLeft w:val="0"/>
      <w:marRight w:val="0"/>
      <w:marTop w:val="0"/>
      <w:marBottom w:val="0"/>
      <w:divBdr>
        <w:top w:val="none" w:sz="0" w:space="0" w:color="auto"/>
        <w:left w:val="none" w:sz="0" w:space="0" w:color="auto"/>
        <w:bottom w:val="none" w:sz="0" w:space="0" w:color="auto"/>
        <w:right w:val="none" w:sz="0" w:space="0" w:color="auto"/>
      </w:divBdr>
      <w:divsChild>
        <w:div w:id="1622109719">
          <w:marLeft w:val="0"/>
          <w:marRight w:val="0"/>
          <w:marTop w:val="0"/>
          <w:marBottom w:val="0"/>
          <w:divBdr>
            <w:top w:val="none" w:sz="0" w:space="0" w:color="auto"/>
            <w:left w:val="none" w:sz="0" w:space="0" w:color="auto"/>
            <w:bottom w:val="none" w:sz="0" w:space="0" w:color="auto"/>
            <w:right w:val="none" w:sz="0" w:space="0" w:color="auto"/>
          </w:divBdr>
        </w:div>
      </w:divsChild>
    </w:div>
    <w:div w:id="412312096">
      <w:bodyDiv w:val="1"/>
      <w:marLeft w:val="0"/>
      <w:marRight w:val="0"/>
      <w:marTop w:val="0"/>
      <w:marBottom w:val="0"/>
      <w:divBdr>
        <w:top w:val="none" w:sz="0" w:space="0" w:color="auto"/>
        <w:left w:val="none" w:sz="0" w:space="0" w:color="auto"/>
        <w:bottom w:val="none" w:sz="0" w:space="0" w:color="auto"/>
        <w:right w:val="none" w:sz="0" w:space="0" w:color="auto"/>
      </w:divBdr>
      <w:divsChild>
        <w:div w:id="279722866">
          <w:marLeft w:val="0"/>
          <w:marRight w:val="0"/>
          <w:marTop w:val="0"/>
          <w:marBottom w:val="0"/>
          <w:divBdr>
            <w:top w:val="none" w:sz="0" w:space="0" w:color="auto"/>
            <w:left w:val="none" w:sz="0" w:space="0" w:color="auto"/>
            <w:bottom w:val="none" w:sz="0" w:space="0" w:color="auto"/>
            <w:right w:val="none" w:sz="0" w:space="0" w:color="auto"/>
          </w:divBdr>
        </w:div>
        <w:div w:id="552080719">
          <w:marLeft w:val="0"/>
          <w:marRight w:val="0"/>
          <w:marTop w:val="0"/>
          <w:marBottom w:val="0"/>
          <w:divBdr>
            <w:top w:val="none" w:sz="0" w:space="0" w:color="auto"/>
            <w:left w:val="none" w:sz="0" w:space="0" w:color="auto"/>
            <w:bottom w:val="none" w:sz="0" w:space="0" w:color="auto"/>
            <w:right w:val="none" w:sz="0" w:space="0" w:color="auto"/>
          </w:divBdr>
        </w:div>
        <w:div w:id="782193307">
          <w:marLeft w:val="0"/>
          <w:marRight w:val="0"/>
          <w:marTop w:val="0"/>
          <w:marBottom w:val="0"/>
          <w:divBdr>
            <w:top w:val="none" w:sz="0" w:space="0" w:color="auto"/>
            <w:left w:val="none" w:sz="0" w:space="0" w:color="auto"/>
            <w:bottom w:val="none" w:sz="0" w:space="0" w:color="auto"/>
            <w:right w:val="none" w:sz="0" w:space="0" w:color="auto"/>
          </w:divBdr>
          <w:divsChild>
            <w:div w:id="1022123169">
              <w:marLeft w:val="0"/>
              <w:marRight w:val="0"/>
              <w:marTop w:val="0"/>
              <w:marBottom w:val="150"/>
              <w:divBdr>
                <w:top w:val="none" w:sz="0" w:space="0" w:color="auto"/>
                <w:left w:val="none" w:sz="0" w:space="0" w:color="auto"/>
                <w:bottom w:val="none" w:sz="0" w:space="0" w:color="auto"/>
                <w:right w:val="none" w:sz="0" w:space="0" w:color="auto"/>
              </w:divBdr>
              <w:divsChild>
                <w:div w:id="423842683">
                  <w:marLeft w:val="0"/>
                  <w:marRight w:val="0"/>
                  <w:marTop w:val="0"/>
                  <w:marBottom w:val="0"/>
                  <w:divBdr>
                    <w:top w:val="none" w:sz="0" w:space="0" w:color="auto"/>
                    <w:left w:val="none" w:sz="0" w:space="0" w:color="auto"/>
                    <w:bottom w:val="none" w:sz="0" w:space="0" w:color="auto"/>
                    <w:right w:val="none" w:sz="0" w:space="0" w:color="auto"/>
                  </w:divBdr>
                  <w:divsChild>
                    <w:div w:id="247227039">
                      <w:marLeft w:val="0"/>
                      <w:marRight w:val="0"/>
                      <w:marTop w:val="150"/>
                      <w:marBottom w:val="0"/>
                      <w:divBdr>
                        <w:top w:val="none" w:sz="0" w:space="0" w:color="auto"/>
                        <w:left w:val="none" w:sz="0" w:space="0" w:color="auto"/>
                        <w:bottom w:val="none" w:sz="0" w:space="0" w:color="auto"/>
                        <w:right w:val="none" w:sz="0" w:space="0" w:color="auto"/>
                      </w:divBdr>
                      <w:divsChild>
                        <w:div w:id="142041576">
                          <w:marLeft w:val="0"/>
                          <w:marRight w:val="75"/>
                          <w:marTop w:val="0"/>
                          <w:marBottom w:val="0"/>
                          <w:divBdr>
                            <w:top w:val="none" w:sz="0" w:space="0" w:color="auto"/>
                            <w:left w:val="none" w:sz="0" w:space="0" w:color="auto"/>
                            <w:bottom w:val="none" w:sz="0" w:space="0" w:color="auto"/>
                            <w:right w:val="none" w:sz="0" w:space="0" w:color="auto"/>
                          </w:divBdr>
                        </w:div>
                        <w:div w:id="78127057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05463">
      <w:bodyDiv w:val="1"/>
      <w:marLeft w:val="0"/>
      <w:marRight w:val="0"/>
      <w:marTop w:val="0"/>
      <w:marBottom w:val="0"/>
      <w:divBdr>
        <w:top w:val="none" w:sz="0" w:space="0" w:color="auto"/>
        <w:left w:val="none" w:sz="0" w:space="0" w:color="auto"/>
        <w:bottom w:val="none" w:sz="0" w:space="0" w:color="auto"/>
        <w:right w:val="none" w:sz="0" w:space="0" w:color="auto"/>
      </w:divBdr>
      <w:divsChild>
        <w:div w:id="1395816467">
          <w:marLeft w:val="0"/>
          <w:marRight w:val="0"/>
          <w:marTop w:val="0"/>
          <w:marBottom w:val="0"/>
          <w:divBdr>
            <w:top w:val="none" w:sz="0" w:space="0" w:color="auto"/>
            <w:left w:val="none" w:sz="0" w:space="0" w:color="auto"/>
            <w:bottom w:val="none" w:sz="0" w:space="0" w:color="auto"/>
            <w:right w:val="none" w:sz="0" w:space="0" w:color="auto"/>
          </w:divBdr>
        </w:div>
      </w:divsChild>
    </w:div>
    <w:div w:id="462499685">
      <w:bodyDiv w:val="1"/>
      <w:marLeft w:val="0"/>
      <w:marRight w:val="0"/>
      <w:marTop w:val="0"/>
      <w:marBottom w:val="0"/>
      <w:divBdr>
        <w:top w:val="none" w:sz="0" w:space="0" w:color="auto"/>
        <w:left w:val="none" w:sz="0" w:space="0" w:color="auto"/>
        <w:bottom w:val="none" w:sz="0" w:space="0" w:color="auto"/>
        <w:right w:val="none" w:sz="0" w:space="0" w:color="auto"/>
      </w:divBdr>
      <w:divsChild>
        <w:div w:id="418216699">
          <w:marLeft w:val="0"/>
          <w:marRight w:val="0"/>
          <w:marTop w:val="0"/>
          <w:marBottom w:val="0"/>
          <w:divBdr>
            <w:top w:val="none" w:sz="0" w:space="0" w:color="auto"/>
            <w:left w:val="none" w:sz="0" w:space="0" w:color="auto"/>
            <w:bottom w:val="none" w:sz="0" w:space="0" w:color="auto"/>
            <w:right w:val="none" w:sz="0" w:space="0" w:color="auto"/>
          </w:divBdr>
        </w:div>
      </w:divsChild>
    </w:div>
    <w:div w:id="513110151">
      <w:bodyDiv w:val="1"/>
      <w:marLeft w:val="0"/>
      <w:marRight w:val="0"/>
      <w:marTop w:val="0"/>
      <w:marBottom w:val="0"/>
      <w:divBdr>
        <w:top w:val="none" w:sz="0" w:space="0" w:color="auto"/>
        <w:left w:val="none" w:sz="0" w:space="0" w:color="auto"/>
        <w:bottom w:val="none" w:sz="0" w:space="0" w:color="auto"/>
        <w:right w:val="none" w:sz="0" w:space="0" w:color="auto"/>
      </w:divBdr>
      <w:divsChild>
        <w:div w:id="437413719">
          <w:marLeft w:val="0"/>
          <w:marRight w:val="75"/>
          <w:marTop w:val="0"/>
          <w:marBottom w:val="0"/>
          <w:divBdr>
            <w:top w:val="none" w:sz="0" w:space="0" w:color="auto"/>
            <w:left w:val="none" w:sz="0" w:space="0" w:color="auto"/>
            <w:bottom w:val="none" w:sz="0" w:space="0" w:color="auto"/>
            <w:right w:val="none" w:sz="0" w:space="0" w:color="auto"/>
          </w:divBdr>
        </w:div>
        <w:div w:id="1444114457">
          <w:marLeft w:val="0"/>
          <w:marRight w:val="75"/>
          <w:marTop w:val="0"/>
          <w:marBottom w:val="0"/>
          <w:divBdr>
            <w:top w:val="none" w:sz="0" w:space="0" w:color="auto"/>
            <w:left w:val="none" w:sz="0" w:space="0" w:color="auto"/>
            <w:bottom w:val="none" w:sz="0" w:space="0" w:color="auto"/>
            <w:right w:val="none" w:sz="0" w:space="0" w:color="auto"/>
          </w:divBdr>
        </w:div>
      </w:divsChild>
    </w:div>
    <w:div w:id="536312500">
      <w:bodyDiv w:val="1"/>
      <w:marLeft w:val="0"/>
      <w:marRight w:val="0"/>
      <w:marTop w:val="0"/>
      <w:marBottom w:val="0"/>
      <w:divBdr>
        <w:top w:val="none" w:sz="0" w:space="0" w:color="auto"/>
        <w:left w:val="none" w:sz="0" w:space="0" w:color="auto"/>
        <w:bottom w:val="none" w:sz="0" w:space="0" w:color="auto"/>
        <w:right w:val="none" w:sz="0" w:space="0" w:color="auto"/>
      </w:divBdr>
      <w:divsChild>
        <w:div w:id="230122157">
          <w:marLeft w:val="0"/>
          <w:marRight w:val="0"/>
          <w:marTop w:val="0"/>
          <w:marBottom w:val="0"/>
          <w:divBdr>
            <w:top w:val="none" w:sz="0" w:space="0" w:color="auto"/>
            <w:left w:val="none" w:sz="0" w:space="0" w:color="auto"/>
            <w:bottom w:val="none" w:sz="0" w:space="0" w:color="auto"/>
            <w:right w:val="none" w:sz="0" w:space="0" w:color="auto"/>
          </w:divBdr>
        </w:div>
      </w:divsChild>
    </w:div>
    <w:div w:id="599147558">
      <w:bodyDiv w:val="1"/>
      <w:marLeft w:val="0"/>
      <w:marRight w:val="0"/>
      <w:marTop w:val="0"/>
      <w:marBottom w:val="0"/>
      <w:divBdr>
        <w:top w:val="none" w:sz="0" w:space="0" w:color="auto"/>
        <w:left w:val="none" w:sz="0" w:space="0" w:color="auto"/>
        <w:bottom w:val="none" w:sz="0" w:space="0" w:color="auto"/>
        <w:right w:val="none" w:sz="0" w:space="0" w:color="auto"/>
      </w:divBdr>
      <w:divsChild>
        <w:div w:id="98062563">
          <w:marLeft w:val="0"/>
          <w:marRight w:val="0"/>
          <w:marTop w:val="0"/>
          <w:marBottom w:val="0"/>
          <w:divBdr>
            <w:top w:val="none" w:sz="0" w:space="0" w:color="auto"/>
            <w:left w:val="none" w:sz="0" w:space="0" w:color="auto"/>
            <w:bottom w:val="none" w:sz="0" w:space="0" w:color="auto"/>
            <w:right w:val="none" w:sz="0" w:space="0" w:color="auto"/>
          </w:divBdr>
        </w:div>
      </w:divsChild>
    </w:div>
    <w:div w:id="719405047">
      <w:bodyDiv w:val="1"/>
      <w:marLeft w:val="0"/>
      <w:marRight w:val="0"/>
      <w:marTop w:val="0"/>
      <w:marBottom w:val="0"/>
      <w:divBdr>
        <w:top w:val="none" w:sz="0" w:space="0" w:color="auto"/>
        <w:left w:val="none" w:sz="0" w:space="0" w:color="auto"/>
        <w:bottom w:val="none" w:sz="0" w:space="0" w:color="auto"/>
        <w:right w:val="none" w:sz="0" w:space="0" w:color="auto"/>
      </w:divBdr>
      <w:divsChild>
        <w:div w:id="1283683714">
          <w:marLeft w:val="0"/>
          <w:marRight w:val="0"/>
          <w:marTop w:val="0"/>
          <w:marBottom w:val="0"/>
          <w:divBdr>
            <w:top w:val="none" w:sz="0" w:space="0" w:color="auto"/>
            <w:left w:val="none" w:sz="0" w:space="0" w:color="auto"/>
            <w:bottom w:val="none" w:sz="0" w:space="0" w:color="auto"/>
            <w:right w:val="none" w:sz="0" w:space="0" w:color="auto"/>
          </w:divBdr>
        </w:div>
      </w:divsChild>
    </w:div>
    <w:div w:id="825128795">
      <w:bodyDiv w:val="1"/>
      <w:marLeft w:val="0"/>
      <w:marRight w:val="0"/>
      <w:marTop w:val="0"/>
      <w:marBottom w:val="0"/>
      <w:divBdr>
        <w:top w:val="none" w:sz="0" w:space="0" w:color="auto"/>
        <w:left w:val="none" w:sz="0" w:space="0" w:color="auto"/>
        <w:bottom w:val="none" w:sz="0" w:space="0" w:color="auto"/>
        <w:right w:val="none" w:sz="0" w:space="0" w:color="auto"/>
      </w:divBdr>
    </w:div>
    <w:div w:id="844435736">
      <w:bodyDiv w:val="1"/>
      <w:marLeft w:val="0"/>
      <w:marRight w:val="0"/>
      <w:marTop w:val="0"/>
      <w:marBottom w:val="0"/>
      <w:divBdr>
        <w:top w:val="none" w:sz="0" w:space="0" w:color="auto"/>
        <w:left w:val="none" w:sz="0" w:space="0" w:color="auto"/>
        <w:bottom w:val="none" w:sz="0" w:space="0" w:color="auto"/>
        <w:right w:val="none" w:sz="0" w:space="0" w:color="auto"/>
      </w:divBdr>
      <w:divsChild>
        <w:div w:id="936330306">
          <w:marLeft w:val="0"/>
          <w:marRight w:val="0"/>
          <w:marTop w:val="0"/>
          <w:marBottom w:val="0"/>
          <w:divBdr>
            <w:top w:val="none" w:sz="0" w:space="0" w:color="auto"/>
            <w:left w:val="none" w:sz="0" w:space="0" w:color="auto"/>
            <w:bottom w:val="none" w:sz="0" w:space="0" w:color="auto"/>
            <w:right w:val="none" w:sz="0" w:space="0" w:color="auto"/>
          </w:divBdr>
        </w:div>
      </w:divsChild>
    </w:div>
    <w:div w:id="886261017">
      <w:bodyDiv w:val="1"/>
      <w:marLeft w:val="0"/>
      <w:marRight w:val="0"/>
      <w:marTop w:val="0"/>
      <w:marBottom w:val="0"/>
      <w:divBdr>
        <w:top w:val="none" w:sz="0" w:space="0" w:color="auto"/>
        <w:left w:val="none" w:sz="0" w:space="0" w:color="auto"/>
        <w:bottom w:val="none" w:sz="0" w:space="0" w:color="auto"/>
        <w:right w:val="none" w:sz="0" w:space="0" w:color="auto"/>
      </w:divBdr>
      <w:divsChild>
        <w:div w:id="899903767">
          <w:marLeft w:val="0"/>
          <w:marRight w:val="0"/>
          <w:marTop w:val="0"/>
          <w:marBottom w:val="0"/>
          <w:divBdr>
            <w:top w:val="none" w:sz="0" w:space="0" w:color="auto"/>
            <w:left w:val="none" w:sz="0" w:space="0" w:color="auto"/>
            <w:bottom w:val="none" w:sz="0" w:space="0" w:color="auto"/>
            <w:right w:val="none" w:sz="0" w:space="0" w:color="auto"/>
          </w:divBdr>
        </w:div>
      </w:divsChild>
    </w:div>
    <w:div w:id="1016883863">
      <w:bodyDiv w:val="1"/>
      <w:marLeft w:val="0"/>
      <w:marRight w:val="0"/>
      <w:marTop w:val="0"/>
      <w:marBottom w:val="0"/>
      <w:divBdr>
        <w:top w:val="none" w:sz="0" w:space="0" w:color="auto"/>
        <w:left w:val="none" w:sz="0" w:space="0" w:color="auto"/>
        <w:bottom w:val="none" w:sz="0" w:space="0" w:color="auto"/>
        <w:right w:val="none" w:sz="0" w:space="0" w:color="auto"/>
      </w:divBdr>
    </w:div>
    <w:div w:id="1032219718">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7">
          <w:marLeft w:val="0"/>
          <w:marRight w:val="0"/>
          <w:marTop w:val="0"/>
          <w:marBottom w:val="0"/>
          <w:divBdr>
            <w:top w:val="none" w:sz="0" w:space="0" w:color="auto"/>
            <w:left w:val="none" w:sz="0" w:space="0" w:color="auto"/>
            <w:bottom w:val="none" w:sz="0" w:space="0" w:color="auto"/>
            <w:right w:val="none" w:sz="0" w:space="0" w:color="auto"/>
          </w:divBdr>
        </w:div>
      </w:divsChild>
    </w:div>
    <w:div w:id="1049066592">
      <w:bodyDiv w:val="1"/>
      <w:marLeft w:val="0"/>
      <w:marRight w:val="0"/>
      <w:marTop w:val="0"/>
      <w:marBottom w:val="0"/>
      <w:divBdr>
        <w:top w:val="none" w:sz="0" w:space="0" w:color="auto"/>
        <w:left w:val="none" w:sz="0" w:space="0" w:color="auto"/>
        <w:bottom w:val="none" w:sz="0" w:space="0" w:color="auto"/>
        <w:right w:val="none" w:sz="0" w:space="0" w:color="auto"/>
      </w:divBdr>
      <w:divsChild>
        <w:div w:id="889194421">
          <w:marLeft w:val="0"/>
          <w:marRight w:val="0"/>
          <w:marTop w:val="0"/>
          <w:marBottom w:val="0"/>
          <w:divBdr>
            <w:top w:val="none" w:sz="0" w:space="0" w:color="auto"/>
            <w:left w:val="none" w:sz="0" w:space="0" w:color="auto"/>
            <w:bottom w:val="none" w:sz="0" w:space="0" w:color="auto"/>
            <w:right w:val="none" w:sz="0" w:space="0" w:color="auto"/>
          </w:divBdr>
        </w:div>
      </w:divsChild>
    </w:div>
    <w:div w:id="1057825241">
      <w:bodyDiv w:val="1"/>
      <w:marLeft w:val="0"/>
      <w:marRight w:val="0"/>
      <w:marTop w:val="0"/>
      <w:marBottom w:val="0"/>
      <w:divBdr>
        <w:top w:val="none" w:sz="0" w:space="0" w:color="auto"/>
        <w:left w:val="none" w:sz="0" w:space="0" w:color="auto"/>
        <w:bottom w:val="none" w:sz="0" w:space="0" w:color="auto"/>
        <w:right w:val="none" w:sz="0" w:space="0" w:color="auto"/>
      </w:divBdr>
      <w:divsChild>
        <w:div w:id="1435246369">
          <w:marLeft w:val="0"/>
          <w:marRight w:val="0"/>
          <w:marTop w:val="0"/>
          <w:marBottom w:val="0"/>
          <w:divBdr>
            <w:top w:val="none" w:sz="0" w:space="0" w:color="auto"/>
            <w:left w:val="none" w:sz="0" w:space="0" w:color="auto"/>
            <w:bottom w:val="none" w:sz="0" w:space="0" w:color="auto"/>
            <w:right w:val="none" w:sz="0" w:space="0" w:color="auto"/>
          </w:divBdr>
        </w:div>
      </w:divsChild>
    </w:div>
    <w:div w:id="1061752152">
      <w:bodyDiv w:val="1"/>
      <w:marLeft w:val="0"/>
      <w:marRight w:val="0"/>
      <w:marTop w:val="0"/>
      <w:marBottom w:val="0"/>
      <w:divBdr>
        <w:top w:val="none" w:sz="0" w:space="0" w:color="auto"/>
        <w:left w:val="none" w:sz="0" w:space="0" w:color="auto"/>
        <w:bottom w:val="none" w:sz="0" w:space="0" w:color="auto"/>
        <w:right w:val="none" w:sz="0" w:space="0" w:color="auto"/>
      </w:divBdr>
      <w:divsChild>
        <w:div w:id="952245819">
          <w:marLeft w:val="0"/>
          <w:marRight w:val="0"/>
          <w:marTop w:val="0"/>
          <w:marBottom w:val="0"/>
          <w:divBdr>
            <w:top w:val="none" w:sz="0" w:space="0" w:color="auto"/>
            <w:left w:val="none" w:sz="0" w:space="0" w:color="auto"/>
            <w:bottom w:val="none" w:sz="0" w:space="0" w:color="auto"/>
            <w:right w:val="none" w:sz="0" w:space="0" w:color="auto"/>
          </w:divBdr>
        </w:div>
      </w:divsChild>
    </w:div>
    <w:div w:id="1065569882">
      <w:bodyDiv w:val="1"/>
      <w:marLeft w:val="0"/>
      <w:marRight w:val="0"/>
      <w:marTop w:val="0"/>
      <w:marBottom w:val="0"/>
      <w:divBdr>
        <w:top w:val="none" w:sz="0" w:space="0" w:color="auto"/>
        <w:left w:val="none" w:sz="0" w:space="0" w:color="auto"/>
        <w:bottom w:val="none" w:sz="0" w:space="0" w:color="auto"/>
        <w:right w:val="none" w:sz="0" w:space="0" w:color="auto"/>
      </w:divBdr>
      <w:divsChild>
        <w:div w:id="811167787">
          <w:marLeft w:val="0"/>
          <w:marRight w:val="0"/>
          <w:marTop w:val="0"/>
          <w:marBottom w:val="0"/>
          <w:divBdr>
            <w:top w:val="none" w:sz="0" w:space="0" w:color="auto"/>
            <w:left w:val="none" w:sz="0" w:space="0" w:color="auto"/>
            <w:bottom w:val="none" w:sz="0" w:space="0" w:color="auto"/>
            <w:right w:val="none" w:sz="0" w:space="0" w:color="auto"/>
          </w:divBdr>
        </w:div>
      </w:divsChild>
    </w:div>
    <w:div w:id="1077899039">
      <w:bodyDiv w:val="1"/>
      <w:marLeft w:val="0"/>
      <w:marRight w:val="0"/>
      <w:marTop w:val="0"/>
      <w:marBottom w:val="0"/>
      <w:divBdr>
        <w:top w:val="none" w:sz="0" w:space="0" w:color="auto"/>
        <w:left w:val="none" w:sz="0" w:space="0" w:color="auto"/>
        <w:bottom w:val="none" w:sz="0" w:space="0" w:color="auto"/>
        <w:right w:val="none" w:sz="0" w:space="0" w:color="auto"/>
      </w:divBdr>
    </w:div>
    <w:div w:id="1105080805">
      <w:bodyDiv w:val="1"/>
      <w:marLeft w:val="0"/>
      <w:marRight w:val="0"/>
      <w:marTop w:val="0"/>
      <w:marBottom w:val="0"/>
      <w:divBdr>
        <w:top w:val="none" w:sz="0" w:space="0" w:color="auto"/>
        <w:left w:val="none" w:sz="0" w:space="0" w:color="auto"/>
        <w:bottom w:val="none" w:sz="0" w:space="0" w:color="auto"/>
        <w:right w:val="none" w:sz="0" w:space="0" w:color="auto"/>
      </w:divBdr>
      <w:divsChild>
        <w:div w:id="146937929">
          <w:marLeft w:val="0"/>
          <w:marRight w:val="0"/>
          <w:marTop w:val="0"/>
          <w:marBottom w:val="0"/>
          <w:divBdr>
            <w:top w:val="none" w:sz="0" w:space="0" w:color="auto"/>
            <w:left w:val="none" w:sz="0" w:space="0" w:color="auto"/>
            <w:bottom w:val="none" w:sz="0" w:space="0" w:color="auto"/>
            <w:right w:val="none" w:sz="0" w:space="0" w:color="auto"/>
          </w:divBdr>
        </w:div>
      </w:divsChild>
    </w:div>
    <w:div w:id="1109009658">
      <w:bodyDiv w:val="1"/>
      <w:marLeft w:val="0"/>
      <w:marRight w:val="0"/>
      <w:marTop w:val="0"/>
      <w:marBottom w:val="0"/>
      <w:divBdr>
        <w:top w:val="none" w:sz="0" w:space="0" w:color="auto"/>
        <w:left w:val="none" w:sz="0" w:space="0" w:color="auto"/>
        <w:bottom w:val="none" w:sz="0" w:space="0" w:color="auto"/>
        <w:right w:val="none" w:sz="0" w:space="0" w:color="auto"/>
      </w:divBdr>
      <w:divsChild>
        <w:div w:id="187450062">
          <w:marLeft w:val="0"/>
          <w:marRight w:val="0"/>
          <w:marTop w:val="0"/>
          <w:marBottom w:val="0"/>
          <w:divBdr>
            <w:top w:val="none" w:sz="0" w:space="0" w:color="auto"/>
            <w:left w:val="none" w:sz="0" w:space="0" w:color="auto"/>
            <w:bottom w:val="none" w:sz="0" w:space="0" w:color="auto"/>
            <w:right w:val="none" w:sz="0" w:space="0" w:color="auto"/>
          </w:divBdr>
          <w:divsChild>
            <w:div w:id="156710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440956">
      <w:bodyDiv w:val="1"/>
      <w:marLeft w:val="0"/>
      <w:marRight w:val="0"/>
      <w:marTop w:val="0"/>
      <w:marBottom w:val="0"/>
      <w:divBdr>
        <w:top w:val="none" w:sz="0" w:space="0" w:color="auto"/>
        <w:left w:val="none" w:sz="0" w:space="0" w:color="auto"/>
        <w:bottom w:val="none" w:sz="0" w:space="0" w:color="auto"/>
        <w:right w:val="none" w:sz="0" w:space="0" w:color="auto"/>
      </w:divBdr>
    </w:div>
    <w:div w:id="1129856226">
      <w:bodyDiv w:val="1"/>
      <w:marLeft w:val="0"/>
      <w:marRight w:val="0"/>
      <w:marTop w:val="0"/>
      <w:marBottom w:val="0"/>
      <w:divBdr>
        <w:top w:val="none" w:sz="0" w:space="0" w:color="auto"/>
        <w:left w:val="none" w:sz="0" w:space="0" w:color="auto"/>
        <w:bottom w:val="none" w:sz="0" w:space="0" w:color="auto"/>
        <w:right w:val="none" w:sz="0" w:space="0" w:color="auto"/>
      </w:divBdr>
      <w:divsChild>
        <w:div w:id="772163707">
          <w:marLeft w:val="0"/>
          <w:marRight w:val="0"/>
          <w:marTop w:val="0"/>
          <w:marBottom w:val="0"/>
          <w:divBdr>
            <w:top w:val="none" w:sz="0" w:space="0" w:color="auto"/>
            <w:left w:val="none" w:sz="0" w:space="0" w:color="auto"/>
            <w:bottom w:val="none" w:sz="0" w:space="0" w:color="auto"/>
            <w:right w:val="none" w:sz="0" w:space="0" w:color="auto"/>
          </w:divBdr>
        </w:div>
      </w:divsChild>
    </w:div>
    <w:div w:id="1182208273">
      <w:bodyDiv w:val="1"/>
      <w:marLeft w:val="0"/>
      <w:marRight w:val="0"/>
      <w:marTop w:val="0"/>
      <w:marBottom w:val="0"/>
      <w:divBdr>
        <w:top w:val="none" w:sz="0" w:space="0" w:color="auto"/>
        <w:left w:val="none" w:sz="0" w:space="0" w:color="auto"/>
        <w:bottom w:val="none" w:sz="0" w:space="0" w:color="auto"/>
        <w:right w:val="none" w:sz="0" w:space="0" w:color="auto"/>
      </w:divBdr>
      <w:divsChild>
        <w:div w:id="1198354982">
          <w:marLeft w:val="0"/>
          <w:marRight w:val="0"/>
          <w:marTop w:val="0"/>
          <w:marBottom w:val="0"/>
          <w:divBdr>
            <w:top w:val="none" w:sz="0" w:space="0" w:color="auto"/>
            <w:left w:val="none" w:sz="0" w:space="0" w:color="auto"/>
            <w:bottom w:val="none" w:sz="0" w:space="0" w:color="auto"/>
            <w:right w:val="none" w:sz="0" w:space="0" w:color="auto"/>
          </w:divBdr>
        </w:div>
      </w:divsChild>
    </w:div>
    <w:div w:id="1198808580">
      <w:bodyDiv w:val="1"/>
      <w:marLeft w:val="0"/>
      <w:marRight w:val="0"/>
      <w:marTop w:val="0"/>
      <w:marBottom w:val="0"/>
      <w:divBdr>
        <w:top w:val="none" w:sz="0" w:space="0" w:color="auto"/>
        <w:left w:val="none" w:sz="0" w:space="0" w:color="auto"/>
        <w:bottom w:val="none" w:sz="0" w:space="0" w:color="auto"/>
        <w:right w:val="none" w:sz="0" w:space="0" w:color="auto"/>
      </w:divBdr>
      <w:divsChild>
        <w:div w:id="1081759358">
          <w:marLeft w:val="0"/>
          <w:marRight w:val="0"/>
          <w:marTop w:val="0"/>
          <w:marBottom w:val="0"/>
          <w:divBdr>
            <w:top w:val="none" w:sz="0" w:space="0" w:color="auto"/>
            <w:left w:val="none" w:sz="0" w:space="0" w:color="auto"/>
            <w:bottom w:val="none" w:sz="0" w:space="0" w:color="auto"/>
            <w:right w:val="none" w:sz="0" w:space="0" w:color="auto"/>
          </w:divBdr>
        </w:div>
      </w:divsChild>
    </w:div>
    <w:div w:id="1231236333">
      <w:bodyDiv w:val="1"/>
      <w:marLeft w:val="0"/>
      <w:marRight w:val="0"/>
      <w:marTop w:val="0"/>
      <w:marBottom w:val="0"/>
      <w:divBdr>
        <w:top w:val="none" w:sz="0" w:space="0" w:color="auto"/>
        <w:left w:val="none" w:sz="0" w:space="0" w:color="auto"/>
        <w:bottom w:val="none" w:sz="0" w:space="0" w:color="auto"/>
        <w:right w:val="none" w:sz="0" w:space="0" w:color="auto"/>
      </w:divBdr>
      <w:divsChild>
        <w:div w:id="413361518">
          <w:marLeft w:val="0"/>
          <w:marRight w:val="0"/>
          <w:marTop w:val="0"/>
          <w:marBottom w:val="0"/>
          <w:divBdr>
            <w:top w:val="none" w:sz="0" w:space="0" w:color="auto"/>
            <w:left w:val="none" w:sz="0" w:space="0" w:color="auto"/>
            <w:bottom w:val="none" w:sz="0" w:space="0" w:color="auto"/>
            <w:right w:val="none" w:sz="0" w:space="0" w:color="auto"/>
          </w:divBdr>
        </w:div>
      </w:divsChild>
    </w:div>
    <w:div w:id="1287008860">
      <w:bodyDiv w:val="1"/>
      <w:marLeft w:val="0"/>
      <w:marRight w:val="0"/>
      <w:marTop w:val="0"/>
      <w:marBottom w:val="0"/>
      <w:divBdr>
        <w:top w:val="none" w:sz="0" w:space="0" w:color="auto"/>
        <w:left w:val="none" w:sz="0" w:space="0" w:color="auto"/>
        <w:bottom w:val="none" w:sz="0" w:space="0" w:color="auto"/>
        <w:right w:val="none" w:sz="0" w:space="0" w:color="auto"/>
      </w:divBdr>
      <w:divsChild>
        <w:div w:id="104009017">
          <w:marLeft w:val="0"/>
          <w:marRight w:val="0"/>
          <w:marTop w:val="0"/>
          <w:marBottom w:val="0"/>
          <w:divBdr>
            <w:top w:val="none" w:sz="0" w:space="0" w:color="auto"/>
            <w:left w:val="none" w:sz="0" w:space="0" w:color="auto"/>
            <w:bottom w:val="none" w:sz="0" w:space="0" w:color="auto"/>
            <w:right w:val="none" w:sz="0" w:space="0" w:color="auto"/>
          </w:divBdr>
        </w:div>
      </w:divsChild>
    </w:div>
    <w:div w:id="1306622494">
      <w:bodyDiv w:val="1"/>
      <w:marLeft w:val="0"/>
      <w:marRight w:val="0"/>
      <w:marTop w:val="0"/>
      <w:marBottom w:val="0"/>
      <w:divBdr>
        <w:top w:val="none" w:sz="0" w:space="0" w:color="auto"/>
        <w:left w:val="none" w:sz="0" w:space="0" w:color="auto"/>
        <w:bottom w:val="none" w:sz="0" w:space="0" w:color="auto"/>
        <w:right w:val="none" w:sz="0" w:space="0" w:color="auto"/>
      </w:divBdr>
    </w:div>
    <w:div w:id="1325432367">
      <w:bodyDiv w:val="1"/>
      <w:marLeft w:val="0"/>
      <w:marRight w:val="0"/>
      <w:marTop w:val="0"/>
      <w:marBottom w:val="0"/>
      <w:divBdr>
        <w:top w:val="none" w:sz="0" w:space="0" w:color="auto"/>
        <w:left w:val="none" w:sz="0" w:space="0" w:color="auto"/>
        <w:bottom w:val="none" w:sz="0" w:space="0" w:color="auto"/>
        <w:right w:val="none" w:sz="0" w:space="0" w:color="auto"/>
      </w:divBdr>
      <w:divsChild>
        <w:div w:id="1887567964">
          <w:marLeft w:val="0"/>
          <w:marRight w:val="0"/>
          <w:marTop w:val="0"/>
          <w:marBottom w:val="0"/>
          <w:divBdr>
            <w:top w:val="none" w:sz="0" w:space="0" w:color="auto"/>
            <w:left w:val="none" w:sz="0" w:space="0" w:color="auto"/>
            <w:bottom w:val="none" w:sz="0" w:space="0" w:color="auto"/>
            <w:right w:val="none" w:sz="0" w:space="0" w:color="auto"/>
          </w:divBdr>
          <w:divsChild>
            <w:div w:id="10787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053">
      <w:bodyDiv w:val="1"/>
      <w:marLeft w:val="0"/>
      <w:marRight w:val="0"/>
      <w:marTop w:val="0"/>
      <w:marBottom w:val="0"/>
      <w:divBdr>
        <w:top w:val="none" w:sz="0" w:space="0" w:color="auto"/>
        <w:left w:val="none" w:sz="0" w:space="0" w:color="auto"/>
        <w:bottom w:val="none" w:sz="0" w:space="0" w:color="auto"/>
        <w:right w:val="none" w:sz="0" w:space="0" w:color="auto"/>
      </w:divBdr>
    </w:div>
    <w:div w:id="1345209516">
      <w:bodyDiv w:val="1"/>
      <w:marLeft w:val="0"/>
      <w:marRight w:val="0"/>
      <w:marTop w:val="0"/>
      <w:marBottom w:val="0"/>
      <w:divBdr>
        <w:top w:val="none" w:sz="0" w:space="0" w:color="auto"/>
        <w:left w:val="none" w:sz="0" w:space="0" w:color="auto"/>
        <w:bottom w:val="none" w:sz="0" w:space="0" w:color="auto"/>
        <w:right w:val="none" w:sz="0" w:space="0" w:color="auto"/>
      </w:divBdr>
      <w:divsChild>
        <w:div w:id="736127893">
          <w:marLeft w:val="0"/>
          <w:marRight w:val="0"/>
          <w:marTop w:val="0"/>
          <w:marBottom w:val="0"/>
          <w:divBdr>
            <w:top w:val="none" w:sz="0" w:space="0" w:color="auto"/>
            <w:left w:val="none" w:sz="0" w:space="0" w:color="auto"/>
            <w:bottom w:val="none" w:sz="0" w:space="0" w:color="auto"/>
            <w:right w:val="none" w:sz="0" w:space="0" w:color="auto"/>
          </w:divBdr>
        </w:div>
      </w:divsChild>
    </w:div>
    <w:div w:id="1381828529">
      <w:bodyDiv w:val="1"/>
      <w:marLeft w:val="0"/>
      <w:marRight w:val="0"/>
      <w:marTop w:val="0"/>
      <w:marBottom w:val="0"/>
      <w:divBdr>
        <w:top w:val="none" w:sz="0" w:space="0" w:color="auto"/>
        <w:left w:val="none" w:sz="0" w:space="0" w:color="auto"/>
        <w:bottom w:val="none" w:sz="0" w:space="0" w:color="auto"/>
        <w:right w:val="none" w:sz="0" w:space="0" w:color="auto"/>
      </w:divBdr>
      <w:divsChild>
        <w:div w:id="301735980">
          <w:marLeft w:val="0"/>
          <w:marRight w:val="0"/>
          <w:marTop w:val="0"/>
          <w:marBottom w:val="0"/>
          <w:divBdr>
            <w:top w:val="none" w:sz="0" w:space="0" w:color="auto"/>
            <w:left w:val="none" w:sz="0" w:space="0" w:color="auto"/>
            <w:bottom w:val="none" w:sz="0" w:space="0" w:color="auto"/>
            <w:right w:val="none" w:sz="0" w:space="0" w:color="auto"/>
          </w:divBdr>
        </w:div>
      </w:divsChild>
    </w:div>
    <w:div w:id="1385761841">
      <w:bodyDiv w:val="1"/>
      <w:marLeft w:val="0"/>
      <w:marRight w:val="0"/>
      <w:marTop w:val="0"/>
      <w:marBottom w:val="0"/>
      <w:divBdr>
        <w:top w:val="none" w:sz="0" w:space="0" w:color="auto"/>
        <w:left w:val="none" w:sz="0" w:space="0" w:color="auto"/>
        <w:bottom w:val="none" w:sz="0" w:space="0" w:color="auto"/>
        <w:right w:val="none" w:sz="0" w:space="0" w:color="auto"/>
      </w:divBdr>
      <w:divsChild>
        <w:div w:id="1287616679">
          <w:marLeft w:val="0"/>
          <w:marRight w:val="0"/>
          <w:marTop w:val="0"/>
          <w:marBottom w:val="0"/>
          <w:divBdr>
            <w:top w:val="none" w:sz="0" w:space="0" w:color="auto"/>
            <w:left w:val="none" w:sz="0" w:space="0" w:color="auto"/>
            <w:bottom w:val="none" w:sz="0" w:space="0" w:color="auto"/>
            <w:right w:val="none" w:sz="0" w:space="0" w:color="auto"/>
          </w:divBdr>
        </w:div>
      </w:divsChild>
    </w:div>
    <w:div w:id="1423452291">
      <w:bodyDiv w:val="1"/>
      <w:marLeft w:val="0"/>
      <w:marRight w:val="0"/>
      <w:marTop w:val="0"/>
      <w:marBottom w:val="0"/>
      <w:divBdr>
        <w:top w:val="none" w:sz="0" w:space="0" w:color="auto"/>
        <w:left w:val="none" w:sz="0" w:space="0" w:color="auto"/>
        <w:bottom w:val="none" w:sz="0" w:space="0" w:color="auto"/>
        <w:right w:val="none" w:sz="0" w:space="0" w:color="auto"/>
      </w:divBdr>
      <w:divsChild>
        <w:div w:id="687029434">
          <w:marLeft w:val="0"/>
          <w:marRight w:val="0"/>
          <w:marTop w:val="0"/>
          <w:marBottom w:val="0"/>
          <w:divBdr>
            <w:top w:val="none" w:sz="0" w:space="0" w:color="auto"/>
            <w:left w:val="none" w:sz="0" w:space="0" w:color="auto"/>
            <w:bottom w:val="none" w:sz="0" w:space="0" w:color="auto"/>
            <w:right w:val="none" w:sz="0" w:space="0" w:color="auto"/>
          </w:divBdr>
        </w:div>
      </w:divsChild>
    </w:div>
    <w:div w:id="1472864627">
      <w:bodyDiv w:val="1"/>
      <w:marLeft w:val="0"/>
      <w:marRight w:val="0"/>
      <w:marTop w:val="0"/>
      <w:marBottom w:val="0"/>
      <w:divBdr>
        <w:top w:val="none" w:sz="0" w:space="0" w:color="auto"/>
        <w:left w:val="none" w:sz="0" w:space="0" w:color="auto"/>
        <w:bottom w:val="none" w:sz="0" w:space="0" w:color="auto"/>
        <w:right w:val="none" w:sz="0" w:space="0" w:color="auto"/>
      </w:divBdr>
      <w:divsChild>
        <w:div w:id="699860895">
          <w:marLeft w:val="0"/>
          <w:marRight w:val="0"/>
          <w:marTop w:val="0"/>
          <w:marBottom w:val="0"/>
          <w:divBdr>
            <w:top w:val="none" w:sz="0" w:space="0" w:color="auto"/>
            <w:left w:val="none" w:sz="0" w:space="0" w:color="auto"/>
            <w:bottom w:val="none" w:sz="0" w:space="0" w:color="auto"/>
            <w:right w:val="none" w:sz="0" w:space="0" w:color="auto"/>
          </w:divBdr>
        </w:div>
      </w:divsChild>
    </w:div>
    <w:div w:id="1488938257">
      <w:bodyDiv w:val="1"/>
      <w:marLeft w:val="0"/>
      <w:marRight w:val="0"/>
      <w:marTop w:val="0"/>
      <w:marBottom w:val="0"/>
      <w:divBdr>
        <w:top w:val="none" w:sz="0" w:space="0" w:color="auto"/>
        <w:left w:val="none" w:sz="0" w:space="0" w:color="auto"/>
        <w:bottom w:val="none" w:sz="0" w:space="0" w:color="auto"/>
        <w:right w:val="none" w:sz="0" w:space="0" w:color="auto"/>
      </w:divBdr>
    </w:div>
    <w:div w:id="1552689924">
      <w:bodyDiv w:val="1"/>
      <w:marLeft w:val="0"/>
      <w:marRight w:val="0"/>
      <w:marTop w:val="0"/>
      <w:marBottom w:val="0"/>
      <w:divBdr>
        <w:top w:val="none" w:sz="0" w:space="0" w:color="auto"/>
        <w:left w:val="none" w:sz="0" w:space="0" w:color="auto"/>
        <w:bottom w:val="none" w:sz="0" w:space="0" w:color="auto"/>
        <w:right w:val="none" w:sz="0" w:space="0" w:color="auto"/>
      </w:divBdr>
    </w:div>
    <w:div w:id="1621911967">
      <w:bodyDiv w:val="1"/>
      <w:marLeft w:val="0"/>
      <w:marRight w:val="0"/>
      <w:marTop w:val="0"/>
      <w:marBottom w:val="0"/>
      <w:divBdr>
        <w:top w:val="none" w:sz="0" w:space="0" w:color="auto"/>
        <w:left w:val="none" w:sz="0" w:space="0" w:color="auto"/>
        <w:bottom w:val="none" w:sz="0" w:space="0" w:color="auto"/>
        <w:right w:val="none" w:sz="0" w:space="0" w:color="auto"/>
      </w:divBdr>
    </w:div>
    <w:div w:id="1628660766">
      <w:bodyDiv w:val="1"/>
      <w:marLeft w:val="0"/>
      <w:marRight w:val="0"/>
      <w:marTop w:val="0"/>
      <w:marBottom w:val="0"/>
      <w:divBdr>
        <w:top w:val="none" w:sz="0" w:space="0" w:color="auto"/>
        <w:left w:val="none" w:sz="0" w:space="0" w:color="auto"/>
        <w:bottom w:val="none" w:sz="0" w:space="0" w:color="auto"/>
        <w:right w:val="none" w:sz="0" w:space="0" w:color="auto"/>
      </w:divBdr>
      <w:divsChild>
        <w:div w:id="2112889297">
          <w:marLeft w:val="0"/>
          <w:marRight w:val="0"/>
          <w:marTop w:val="0"/>
          <w:marBottom w:val="0"/>
          <w:divBdr>
            <w:top w:val="none" w:sz="0" w:space="0" w:color="auto"/>
            <w:left w:val="none" w:sz="0" w:space="0" w:color="auto"/>
            <w:bottom w:val="none" w:sz="0" w:space="0" w:color="auto"/>
            <w:right w:val="none" w:sz="0" w:space="0" w:color="auto"/>
          </w:divBdr>
        </w:div>
      </w:divsChild>
    </w:div>
    <w:div w:id="1631861538">
      <w:bodyDiv w:val="1"/>
      <w:marLeft w:val="0"/>
      <w:marRight w:val="0"/>
      <w:marTop w:val="0"/>
      <w:marBottom w:val="0"/>
      <w:divBdr>
        <w:top w:val="none" w:sz="0" w:space="0" w:color="auto"/>
        <w:left w:val="none" w:sz="0" w:space="0" w:color="auto"/>
        <w:bottom w:val="none" w:sz="0" w:space="0" w:color="auto"/>
        <w:right w:val="none" w:sz="0" w:space="0" w:color="auto"/>
      </w:divBdr>
      <w:divsChild>
        <w:div w:id="728765734">
          <w:marLeft w:val="0"/>
          <w:marRight w:val="0"/>
          <w:marTop w:val="0"/>
          <w:marBottom w:val="0"/>
          <w:divBdr>
            <w:top w:val="none" w:sz="0" w:space="0" w:color="auto"/>
            <w:left w:val="none" w:sz="0" w:space="0" w:color="auto"/>
            <w:bottom w:val="none" w:sz="0" w:space="0" w:color="auto"/>
            <w:right w:val="none" w:sz="0" w:space="0" w:color="auto"/>
          </w:divBdr>
        </w:div>
      </w:divsChild>
    </w:div>
    <w:div w:id="1733459460">
      <w:bodyDiv w:val="1"/>
      <w:marLeft w:val="0"/>
      <w:marRight w:val="0"/>
      <w:marTop w:val="0"/>
      <w:marBottom w:val="0"/>
      <w:divBdr>
        <w:top w:val="none" w:sz="0" w:space="0" w:color="auto"/>
        <w:left w:val="none" w:sz="0" w:space="0" w:color="auto"/>
        <w:bottom w:val="none" w:sz="0" w:space="0" w:color="auto"/>
        <w:right w:val="none" w:sz="0" w:space="0" w:color="auto"/>
      </w:divBdr>
      <w:divsChild>
        <w:div w:id="1505627086">
          <w:marLeft w:val="0"/>
          <w:marRight w:val="0"/>
          <w:marTop w:val="0"/>
          <w:marBottom w:val="0"/>
          <w:divBdr>
            <w:top w:val="none" w:sz="0" w:space="0" w:color="auto"/>
            <w:left w:val="none" w:sz="0" w:space="0" w:color="auto"/>
            <w:bottom w:val="none" w:sz="0" w:space="0" w:color="auto"/>
            <w:right w:val="none" w:sz="0" w:space="0" w:color="auto"/>
          </w:divBdr>
        </w:div>
      </w:divsChild>
    </w:div>
    <w:div w:id="1744451637">
      <w:bodyDiv w:val="1"/>
      <w:marLeft w:val="0"/>
      <w:marRight w:val="0"/>
      <w:marTop w:val="0"/>
      <w:marBottom w:val="0"/>
      <w:divBdr>
        <w:top w:val="none" w:sz="0" w:space="0" w:color="auto"/>
        <w:left w:val="none" w:sz="0" w:space="0" w:color="auto"/>
        <w:bottom w:val="none" w:sz="0" w:space="0" w:color="auto"/>
        <w:right w:val="none" w:sz="0" w:space="0" w:color="auto"/>
      </w:divBdr>
      <w:divsChild>
        <w:div w:id="1674723182">
          <w:marLeft w:val="0"/>
          <w:marRight w:val="0"/>
          <w:marTop w:val="0"/>
          <w:marBottom w:val="0"/>
          <w:divBdr>
            <w:top w:val="none" w:sz="0" w:space="0" w:color="auto"/>
            <w:left w:val="none" w:sz="0" w:space="0" w:color="auto"/>
            <w:bottom w:val="none" w:sz="0" w:space="0" w:color="auto"/>
            <w:right w:val="none" w:sz="0" w:space="0" w:color="auto"/>
          </w:divBdr>
        </w:div>
      </w:divsChild>
    </w:div>
    <w:div w:id="1753576114">
      <w:bodyDiv w:val="1"/>
      <w:marLeft w:val="0"/>
      <w:marRight w:val="0"/>
      <w:marTop w:val="0"/>
      <w:marBottom w:val="0"/>
      <w:divBdr>
        <w:top w:val="none" w:sz="0" w:space="0" w:color="auto"/>
        <w:left w:val="none" w:sz="0" w:space="0" w:color="auto"/>
        <w:bottom w:val="none" w:sz="0" w:space="0" w:color="auto"/>
        <w:right w:val="none" w:sz="0" w:space="0" w:color="auto"/>
      </w:divBdr>
    </w:div>
    <w:div w:id="1780685872">
      <w:bodyDiv w:val="1"/>
      <w:marLeft w:val="0"/>
      <w:marRight w:val="0"/>
      <w:marTop w:val="0"/>
      <w:marBottom w:val="0"/>
      <w:divBdr>
        <w:top w:val="none" w:sz="0" w:space="0" w:color="auto"/>
        <w:left w:val="none" w:sz="0" w:space="0" w:color="auto"/>
        <w:bottom w:val="none" w:sz="0" w:space="0" w:color="auto"/>
        <w:right w:val="none" w:sz="0" w:space="0" w:color="auto"/>
      </w:divBdr>
    </w:div>
    <w:div w:id="1800146964">
      <w:bodyDiv w:val="1"/>
      <w:marLeft w:val="0"/>
      <w:marRight w:val="0"/>
      <w:marTop w:val="0"/>
      <w:marBottom w:val="0"/>
      <w:divBdr>
        <w:top w:val="none" w:sz="0" w:space="0" w:color="auto"/>
        <w:left w:val="none" w:sz="0" w:space="0" w:color="auto"/>
        <w:bottom w:val="none" w:sz="0" w:space="0" w:color="auto"/>
        <w:right w:val="none" w:sz="0" w:space="0" w:color="auto"/>
      </w:divBdr>
      <w:divsChild>
        <w:div w:id="1328240672">
          <w:marLeft w:val="0"/>
          <w:marRight w:val="0"/>
          <w:marTop w:val="0"/>
          <w:marBottom w:val="0"/>
          <w:divBdr>
            <w:top w:val="none" w:sz="0" w:space="0" w:color="auto"/>
            <w:left w:val="none" w:sz="0" w:space="0" w:color="auto"/>
            <w:bottom w:val="none" w:sz="0" w:space="0" w:color="auto"/>
            <w:right w:val="none" w:sz="0" w:space="0" w:color="auto"/>
          </w:divBdr>
        </w:div>
      </w:divsChild>
    </w:div>
    <w:div w:id="1844710158">
      <w:bodyDiv w:val="1"/>
      <w:marLeft w:val="0"/>
      <w:marRight w:val="0"/>
      <w:marTop w:val="0"/>
      <w:marBottom w:val="0"/>
      <w:divBdr>
        <w:top w:val="none" w:sz="0" w:space="0" w:color="auto"/>
        <w:left w:val="none" w:sz="0" w:space="0" w:color="auto"/>
        <w:bottom w:val="none" w:sz="0" w:space="0" w:color="auto"/>
        <w:right w:val="none" w:sz="0" w:space="0" w:color="auto"/>
      </w:divBdr>
      <w:divsChild>
        <w:div w:id="1583178748">
          <w:marLeft w:val="0"/>
          <w:marRight w:val="0"/>
          <w:marTop w:val="0"/>
          <w:marBottom w:val="0"/>
          <w:divBdr>
            <w:top w:val="none" w:sz="0" w:space="0" w:color="auto"/>
            <w:left w:val="none" w:sz="0" w:space="0" w:color="auto"/>
            <w:bottom w:val="none" w:sz="0" w:space="0" w:color="auto"/>
            <w:right w:val="none" w:sz="0" w:space="0" w:color="auto"/>
          </w:divBdr>
        </w:div>
      </w:divsChild>
    </w:div>
    <w:div w:id="1853110928">
      <w:bodyDiv w:val="1"/>
      <w:marLeft w:val="0"/>
      <w:marRight w:val="0"/>
      <w:marTop w:val="0"/>
      <w:marBottom w:val="0"/>
      <w:divBdr>
        <w:top w:val="none" w:sz="0" w:space="0" w:color="auto"/>
        <w:left w:val="none" w:sz="0" w:space="0" w:color="auto"/>
        <w:bottom w:val="none" w:sz="0" w:space="0" w:color="auto"/>
        <w:right w:val="none" w:sz="0" w:space="0" w:color="auto"/>
      </w:divBdr>
      <w:divsChild>
        <w:div w:id="1682198937">
          <w:marLeft w:val="0"/>
          <w:marRight w:val="0"/>
          <w:marTop w:val="0"/>
          <w:marBottom w:val="0"/>
          <w:divBdr>
            <w:top w:val="none" w:sz="0" w:space="0" w:color="auto"/>
            <w:left w:val="none" w:sz="0" w:space="0" w:color="auto"/>
            <w:bottom w:val="none" w:sz="0" w:space="0" w:color="auto"/>
            <w:right w:val="none" w:sz="0" w:space="0" w:color="auto"/>
          </w:divBdr>
        </w:div>
      </w:divsChild>
    </w:div>
    <w:div w:id="1879122558">
      <w:bodyDiv w:val="1"/>
      <w:marLeft w:val="0"/>
      <w:marRight w:val="0"/>
      <w:marTop w:val="0"/>
      <w:marBottom w:val="0"/>
      <w:divBdr>
        <w:top w:val="none" w:sz="0" w:space="0" w:color="auto"/>
        <w:left w:val="none" w:sz="0" w:space="0" w:color="auto"/>
        <w:bottom w:val="none" w:sz="0" w:space="0" w:color="auto"/>
        <w:right w:val="none" w:sz="0" w:space="0" w:color="auto"/>
      </w:divBdr>
      <w:divsChild>
        <w:div w:id="1041706540">
          <w:marLeft w:val="0"/>
          <w:marRight w:val="0"/>
          <w:marTop w:val="0"/>
          <w:marBottom w:val="0"/>
          <w:divBdr>
            <w:top w:val="none" w:sz="0" w:space="0" w:color="auto"/>
            <w:left w:val="none" w:sz="0" w:space="0" w:color="auto"/>
            <w:bottom w:val="none" w:sz="0" w:space="0" w:color="auto"/>
            <w:right w:val="none" w:sz="0" w:space="0" w:color="auto"/>
          </w:divBdr>
        </w:div>
      </w:divsChild>
    </w:div>
    <w:div w:id="1911429440">
      <w:bodyDiv w:val="1"/>
      <w:marLeft w:val="0"/>
      <w:marRight w:val="0"/>
      <w:marTop w:val="0"/>
      <w:marBottom w:val="0"/>
      <w:divBdr>
        <w:top w:val="none" w:sz="0" w:space="0" w:color="auto"/>
        <w:left w:val="none" w:sz="0" w:space="0" w:color="auto"/>
        <w:bottom w:val="none" w:sz="0" w:space="0" w:color="auto"/>
        <w:right w:val="none" w:sz="0" w:space="0" w:color="auto"/>
      </w:divBdr>
    </w:div>
    <w:div w:id="1969698714">
      <w:bodyDiv w:val="1"/>
      <w:marLeft w:val="0"/>
      <w:marRight w:val="0"/>
      <w:marTop w:val="0"/>
      <w:marBottom w:val="0"/>
      <w:divBdr>
        <w:top w:val="none" w:sz="0" w:space="0" w:color="auto"/>
        <w:left w:val="none" w:sz="0" w:space="0" w:color="auto"/>
        <w:bottom w:val="none" w:sz="0" w:space="0" w:color="auto"/>
        <w:right w:val="none" w:sz="0" w:space="0" w:color="auto"/>
      </w:divBdr>
      <w:divsChild>
        <w:div w:id="1656571391">
          <w:marLeft w:val="0"/>
          <w:marRight w:val="0"/>
          <w:marTop w:val="0"/>
          <w:marBottom w:val="0"/>
          <w:divBdr>
            <w:top w:val="none" w:sz="0" w:space="0" w:color="auto"/>
            <w:left w:val="none" w:sz="0" w:space="0" w:color="auto"/>
            <w:bottom w:val="none" w:sz="0" w:space="0" w:color="auto"/>
            <w:right w:val="none" w:sz="0" w:space="0" w:color="auto"/>
          </w:divBdr>
        </w:div>
      </w:divsChild>
    </w:div>
    <w:div w:id="1990210319">
      <w:bodyDiv w:val="1"/>
      <w:marLeft w:val="0"/>
      <w:marRight w:val="0"/>
      <w:marTop w:val="0"/>
      <w:marBottom w:val="0"/>
      <w:divBdr>
        <w:top w:val="none" w:sz="0" w:space="0" w:color="auto"/>
        <w:left w:val="none" w:sz="0" w:space="0" w:color="auto"/>
        <w:bottom w:val="none" w:sz="0" w:space="0" w:color="auto"/>
        <w:right w:val="none" w:sz="0" w:space="0" w:color="auto"/>
      </w:divBdr>
      <w:divsChild>
        <w:div w:id="1893421758">
          <w:marLeft w:val="0"/>
          <w:marRight w:val="0"/>
          <w:marTop w:val="0"/>
          <w:marBottom w:val="0"/>
          <w:divBdr>
            <w:top w:val="none" w:sz="0" w:space="0" w:color="auto"/>
            <w:left w:val="none" w:sz="0" w:space="0" w:color="auto"/>
            <w:bottom w:val="none" w:sz="0" w:space="0" w:color="auto"/>
            <w:right w:val="none" w:sz="0" w:space="0" w:color="auto"/>
          </w:divBdr>
        </w:div>
      </w:divsChild>
    </w:div>
    <w:div w:id="2026780825">
      <w:bodyDiv w:val="1"/>
      <w:marLeft w:val="0"/>
      <w:marRight w:val="0"/>
      <w:marTop w:val="0"/>
      <w:marBottom w:val="0"/>
      <w:divBdr>
        <w:top w:val="none" w:sz="0" w:space="0" w:color="auto"/>
        <w:left w:val="none" w:sz="0" w:space="0" w:color="auto"/>
        <w:bottom w:val="none" w:sz="0" w:space="0" w:color="auto"/>
        <w:right w:val="none" w:sz="0" w:space="0" w:color="auto"/>
      </w:divBdr>
      <w:divsChild>
        <w:div w:id="1453210014">
          <w:marLeft w:val="0"/>
          <w:marRight w:val="0"/>
          <w:marTop w:val="0"/>
          <w:marBottom w:val="0"/>
          <w:divBdr>
            <w:top w:val="none" w:sz="0" w:space="0" w:color="auto"/>
            <w:left w:val="none" w:sz="0" w:space="0" w:color="auto"/>
            <w:bottom w:val="none" w:sz="0" w:space="0" w:color="auto"/>
            <w:right w:val="none" w:sz="0" w:space="0" w:color="auto"/>
          </w:divBdr>
        </w:div>
      </w:divsChild>
    </w:div>
    <w:div w:id="2042317279">
      <w:bodyDiv w:val="1"/>
      <w:marLeft w:val="0"/>
      <w:marRight w:val="0"/>
      <w:marTop w:val="0"/>
      <w:marBottom w:val="0"/>
      <w:divBdr>
        <w:top w:val="none" w:sz="0" w:space="0" w:color="auto"/>
        <w:left w:val="none" w:sz="0" w:space="0" w:color="auto"/>
        <w:bottom w:val="none" w:sz="0" w:space="0" w:color="auto"/>
        <w:right w:val="none" w:sz="0" w:space="0" w:color="auto"/>
      </w:divBdr>
    </w:div>
    <w:div w:id="2118988398">
      <w:bodyDiv w:val="1"/>
      <w:marLeft w:val="0"/>
      <w:marRight w:val="0"/>
      <w:marTop w:val="0"/>
      <w:marBottom w:val="0"/>
      <w:divBdr>
        <w:top w:val="none" w:sz="0" w:space="0" w:color="auto"/>
        <w:left w:val="none" w:sz="0" w:space="0" w:color="auto"/>
        <w:bottom w:val="none" w:sz="0" w:space="0" w:color="auto"/>
        <w:right w:val="none" w:sz="0" w:space="0" w:color="auto"/>
      </w:divBdr>
    </w:div>
    <w:div w:id="2146964569">
      <w:bodyDiv w:val="1"/>
      <w:marLeft w:val="0"/>
      <w:marRight w:val="0"/>
      <w:marTop w:val="0"/>
      <w:marBottom w:val="0"/>
      <w:divBdr>
        <w:top w:val="none" w:sz="0" w:space="0" w:color="auto"/>
        <w:left w:val="none" w:sz="0" w:space="0" w:color="auto"/>
        <w:bottom w:val="none" w:sz="0" w:space="0" w:color="auto"/>
        <w:right w:val="none" w:sz="0" w:space="0" w:color="auto"/>
      </w:divBdr>
      <w:divsChild>
        <w:div w:id="425003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s://www.eachrights.or.ke/ssd/2024/03/Kenya-CSO-UPR-Mid-Term-Report.pdf" TargetMode="External"/><Relationship Id="rId39" Type="http://schemas.openxmlformats.org/officeDocument/2006/relationships/fontTable" Target="fontTable.xml"/><Relationship Id="rId21" Type="http://schemas.openxmlformats.org/officeDocument/2006/relationships/hyperlink" Target="https://www.childrightsconnect.org/wp-content/uploads/2015/08/UPR-FS-3-NGO-Advocacy_ENGLISH_table.pdf" TargetMode="External"/><Relationship Id="rId34" Type="http://schemas.openxmlformats.org/officeDocument/2006/relationships/hyperlink" Target="https://www.unhcr.org/media/26892"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https://www.kelinkenya.org/kelin-participates-in-the-universal-periodic-review-kenya-stakeholders-meet-up/" TargetMode="External"/><Relationship Id="rId33" Type="http://schemas.openxmlformats.org/officeDocument/2006/relationships/hyperlink" Target="https://www.eachrights.or.ke/universal-periodic-review/" TargetMode="External"/><Relationship Id="rId38" Type="http://schemas.openxmlformats.org/officeDocument/2006/relationships/hyperlink" Target="https://upr.info/sites/default/files/documents/2016-12/pre-sessions_web.pdf"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ohchr.org/Documents/HRBodies/UPR/Emerging_UPR_GoodPractic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tbinternet.ohchr.org/Treaties/CEDAW/Shared%25" TargetMode="External"/><Relationship Id="rId32" Type="http://schemas.openxmlformats.org/officeDocument/2006/relationships/hyperlink" Target="https://bcuassets.blob.core.windows.net/docs/empowering-csos-at-the-upr-full-report-133680282970363754.pdf" TargetMode="External"/><Relationship Id="rId37" Type="http://schemas.openxmlformats.org/officeDocument/2006/relationships/hyperlink" Target="https://upr-info.org/sites/default/files/general-document/2022-05/Database_Action_Category.pd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upr.info/sites/default/files/country-document/2022-11/HRC_Statement_Presession42_Zambia.pdf" TargetMode="External"/><Relationship Id="rId28" Type="http://schemas.openxmlformats.org/officeDocument/2006/relationships/hyperlink" Target="https://statelaw.go.ke/wp-content/uploads/2022/04/3rd-Cycle-UPR-Implementation-Plan-2021-to-2025.pdf" TargetMode="External"/><Relationship Id="rId36" Type="http://schemas.openxmlformats.org/officeDocument/2006/relationships/hyperlink" Target="https://upr.info/sites/default/files/documents/2015-11/upr_info_identifying_best_practices_in_national_reports_2015.pdf"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s://www.gdrc.org/ngo/accountability/by-what-authority.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https://childrightsconnect.org/wp-content/uploads/2018/01/en_factsheet-3.pdf" TargetMode="External"/><Relationship Id="rId27" Type="http://schemas.openxmlformats.org/officeDocument/2006/relationships/hyperlink" Target="https://www.knchr.org/Portals/0/InternationalObligationsReports/Accounting_For_Human_Rights_Protection_Under_the_UPR.pdf?ver=2013-02-21-150102-893" TargetMode="External"/><Relationship Id="rId30" Type="http://schemas.openxmlformats.org/officeDocument/2006/relationships/hyperlink" Target="https://news.sky.com/story/oxfam-scandal-haiti-official-sacked-by-charity-over-inappropriate-behaviour-11250718" TargetMode="External"/><Relationship Id="rId35" Type="http://schemas.openxmlformats.org/officeDocument/2006/relationships/hyperlink" Target="https://bit.ly/3GBLJ70%20(30" TargetMode="External"/><Relationship Id="rId8" Type="http://schemas.openxmlformats.org/officeDocument/2006/relationships/hyperlink" Target="https://www.euppublishing.com/doi/10.3366/ajicl.2026.0552"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eachrights.or.ke/ssd/2024/03/Kenya-CSO-UPR-Mid-Term-Report.pdf" TargetMode="External"/><Relationship Id="rId13" Type="http://schemas.openxmlformats.org/officeDocument/2006/relationships/hyperlink" Target="https://bit.ly/3ZBUHda" TargetMode="External"/><Relationship Id="rId3" Type="http://schemas.openxmlformats.org/officeDocument/2006/relationships/hyperlink" Target="https://upr.info/sites/default/files/documents/2016-12/pre-sessions_web.pdf" TargetMode="External"/><Relationship Id="rId7" Type="http://schemas.openxmlformats.org/officeDocument/2006/relationships/hyperlink" Target="https://www.knchr.org/Portals/0/InternationalObligationsReports/Accounting_For_Human_Rights_Protection_Under_the_UPR.pdf?ver=2013-02-21-150102-893" TargetMode="External"/><Relationship Id="rId12" Type="http://schemas.openxmlformats.org/officeDocument/2006/relationships/hyperlink" Target="https://www.ohchr.org/en/hr-bodies/upr/uprke-stakeholders-info-s35" TargetMode="External"/><Relationship Id="rId2" Type="http://schemas.openxmlformats.org/officeDocument/2006/relationships/hyperlink" Target="https://bit.ly/3GBLJ70" TargetMode="External"/><Relationship Id="rId1" Type="http://schemas.openxmlformats.org/officeDocument/2006/relationships/hyperlink" Target="https://bcuassets.blob.core.windows.net/docs/empowering-csos-at-the-upr-full-report-133680282970363754.pdf" TargetMode="External"/><Relationship Id="rId6" Type="http://schemas.openxmlformats.org/officeDocument/2006/relationships/hyperlink" Target="https://upr.info/sites/default/files/country-document/2022-11/HRC_Statement_Presession42_Zambia.pdf" TargetMode="External"/><Relationship Id="rId11" Type="http://schemas.openxmlformats.org/officeDocument/2006/relationships/hyperlink" Target="https://statelaw.go.ke/wp-content/uploads/2022/04/3rd-Cycle-UPR-Implementation-Plan-2021-to-2025.pdf" TargetMode="External"/><Relationship Id="rId5" Type="http://schemas.openxmlformats.org/officeDocument/2006/relationships/hyperlink" Target="https://upr.info/sites/default/files/documents/2019-12/2._gay_and_lesbian_coalition_of_kenya_stmt.pdf" TargetMode="External"/><Relationship Id="rId10" Type="http://schemas.openxmlformats.org/officeDocument/2006/relationships/hyperlink" Target="https://www.kelinkenya.org/kelin-participates-in-the-universal-periodic-review-kenya-stakeholders-meet-up/" TargetMode="External"/><Relationship Id="rId4" Type="http://schemas.openxmlformats.org/officeDocument/2006/relationships/hyperlink" Target="https://upr.info/en/presessions" TargetMode="External"/><Relationship Id="rId9" Type="http://schemas.openxmlformats.org/officeDocument/2006/relationships/hyperlink" Target="https://www.eachrights.or.ke/universal-periodic-review/" TargetMode="External"/><Relationship Id="rId14" Type="http://schemas.openxmlformats.org/officeDocument/2006/relationships/hyperlink" Target="https://upr-info.org/sites/default/files/general-document/2022-05/Database_Action_Catego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DB665-409B-456E-A872-6D18F67ED8AC}">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56</TotalTime>
  <Pages>29</Pages>
  <Words>11372</Words>
  <Characters>64827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76047</CharactersWithSpaces>
  <SharedDoc>false</SharedDoc>
  <HLinks>
    <vt:vector size="126" baseType="variant">
      <vt:variant>
        <vt:i4>7274600</vt:i4>
      </vt:variant>
      <vt:variant>
        <vt:i4>60</vt:i4>
      </vt:variant>
      <vt:variant>
        <vt:i4>0</vt:i4>
      </vt:variant>
      <vt:variant>
        <vt:i4>5</vt:i4>
      </vt:variant>
      <vt:variant>
        <vt:lpwstr>http://www.staff.city.ac.uk/p.willetts/CS-NTWKS/NGO-ART.HTM</vt:lpwstr>
      </vt:variant>
      <vt:variant>
        <vt:lpwstr/>
      </vt:variant>
      <vt:variant>
        <vt:i4>4784172</vt:i4>
      </vt:variant>
      <vt:variant>
        <vt:i4>57</vt:i4>
      </vt:variant>
      <vt:variant>
        <vt:i4>0</vt:i4>
      </vt:variant>
      <vt:variant>
        <vt:i4>5</vt:i4>
      </vt:variant>
      <vt:variant>
        <vt:lpwstr>https://upr.info/sites/default/files/documents/2016-12/pre-sessions_web.pdf</vt:lpwstr>
      </vt:variant>
      <vt:variant>
        <vt:lpwstr/>
      </vt:variant>
      <vt:variant>
        <vt:i4>5177425</vt:i4>
      </vt:variant>
      <vt:variant>
        <vt:i4>54</vt:i4>
      </vt:variant>
      <vt:variant>
        <vt:i4>0</vt:i4>
      </vt:variant>
      <vt:variant>
        <vt:i4>5</vt:i4>
      </vt:variant>
      <vt:variant>
        <vt:lpwstr>https://upr-info.org/sites/default/files/general-document/2022-05/Database_Action_Category.pdf</vt:lpwstr>
      </vt:variant>
      <vt:variant>
        <vt:lpwstr/>
      </vt:variant>
      <vt:variant>
        <vt:i4>4587612</vt:i4>
      </vt:variant>
      <vt:variant>
        <vt:i4>51</vt:i4>
      </vt:variant>
      <vt:variant>
        <vt:i4>0</vt:i4>
      </vt:variant>
      <vt:variant>
        <vt:i4>5</vt:i4>
      </vt:variant>
      <vt:variant>
        <vt:lpwstr>https://upr.info/sites/default/files/documents/2015-11/upr_info_identifying_best_practices_in_national_reports_2015.pdf</vt:lpwstr>
      </vt:variant>
      <vt:variant>
        <vt:lpwstr/>
      </vt:variant>
      <vt:variant>
        <vt:i4>3932218</vt:i4>
      </vt:variant>
      <vt:variant>
        <vt:i4>48</vt:i4>
      </vt:variant>
      <vt:variant>
        <vt:i4>0</vt:i4>
      </vt:variant>
      <vt:variant>
        <vt:i4>5</vt:i4>
      </vt:variant>
      <vt:variant>
        <vt:lpwstr>https://bit.ly/3GBLJ70 (30</vt:lpwstr>
      </vt:variant>
      <vt:variant>
        <vt:lpwstr/>
      </vt:variant>
      <vt:variant>
        <vt:i4>1704005</vt:i4>
      </vt:variant>
      <vt:variant>
        <vt:i4>45</vt:i4>
      </vt:variant>
      <vt:variant>
        <vt:i4>0</vt:i4>
      </vt:variant>
      <vt:variant>
        <vt:i4>5</vt:i4>
      </vt:variant>
      <vt:variant>
        <vt:lpwstr>https://www.unhcr.org/media/26892</vt:lpwstr>
      </vt:variant>
      <vt:variant>
        <vt:lpwstr/>
      </vt:variant>
      <vt:variant>
        <vt:i4>1179663</vt:i4>
      </vt:variant>
      <vt:variant>
        <vt:i4>42</vt:i4>
      </vt:variant>
      <vt:variant>
        <vt:i4>0</vt:i4>
      </vt:variant>
      <vt:variant>
        <vt:i4>5</vt:i4>
      </vt:variant>
      <vt:variant>
        <vt:lpwstr>https://www.eachrights.or.ke/universal-periodic-review/</vt:lpwstr>
      </vt:variant>
      <vt:variant>
        <vt:lpwstr>:~:text=Kenya's%20Stakeholders%20Coalition%20on%20the,on%20Human%20Rights%20(OHCHR)</vt:lpwstr>
      </vt:variant>
      <vt:variant>
        <vt:i4>7143469</vt:i4>
      </vt:variant>
      <vt:variant>
        <vt:i4>39</vt:i4>
      </vt:variant>
      <vt:variant>
        <vt:i4>0</vt:i4>
      </vt:variant>
      <vt:variant>
        <vt:i4>5</vt:i4>
      </vt:variant>
      <vt:variant>
        <vt:lpwstr>https://bcuassets.blob.core.windows.net/docs/empowering-csos-at-the-upr-full-report-133680282970363754.pdf</vt:lpwstr>
      </vt:variant>
      <vt:variant>
        <vt:lpwstr/>
      </vt:variant>
      <vt:variant>
        <vt:i4>8323112</vt:i4>
      </vt:variant>
      <vt:variant>
        <vt:i4>36</vt:i4>
      </vt:variant>
      <vt:variant>
        <vt:i4>0</vt:i4>
      </vt:variant>
      <vt:variant>
        <vt:i4>5</vt:i4>
      </vt:variant>
      <vt:variant>
        <vt:lpwstr>https://www.gdrc.org/ngo/accountability/by-what-authority.html</vt:lpwstr>
      </vt:variant>
      <vt:variant>
        <vt:lpwstr/>
      </vt:variant>
      <vt:variant>
        <vt:i4>3276834</vt:i4>
      </vt:variant>
      <vt:variant>
        <vt:i4>33</vt:i4>
      </vt:variant>
      <vt:variant>
        <vt:i4>0</vt:i4>
      </vt:variant>
      <vt:variant>
        <vt:i4>5</vt:i4>
      </vt:variant>
      <vt:variant>
        <vt:lpwstr>https://news.sky.com/story/oxfam-scandal-haiti-official-sacked-by-charity-over-inappropriate-behaviour-11250718</vt:lpwstr>
      </vt:variant>
      <vt:variant>
        <vt:lpwstr/>
      </vt:variant>
      <vt:variant>
        <vt:i4>3801121</vt:i4>
      </vt:variant>
      <vt:variant>
        <vt:i4>30</vt:i4>
      </vt:variant>
      <vt:variant>
        <vt:i4>0</vt:i4>
      </vt:variant>
      <vt:variant>
        <vt:i4>5</vt:i4>
      </vt:variant>
      <vt:variant>
        <vt:lpwstr>https://www.ohchr.org/Documents/HRBodies/UPR/Emerging_UPR_GoodPractices.pdf</vt:lpwstr>
      </vt:variant>
      <vt:variant>
        <vt:lpwstr/>
      </vt:variant>
      <vt:variant>
        <vt:i4>6160469</vt:i4>
      </vt:variant>
      <vt:variant>
        <vt:i4>27</vt:i4>
      </vt:variant>
      <vt:variant>
        <vt:i4>0</vt:i4>
      </vt:variant>
      <vt:variant>
        <vt:i4>5</vt:i4>
      </vt:variant>
      <vt:variant>
        <vt:lpwstr>https://www.ohchr.org/Documents/HRBodies/TB/HRTD/3rdBiennial/States/Bulgaria.doc</vt:lpwstr>
      </vt:variant>
      <vt:variant>
        <vt:lpwstr/>
      </vt:variant>
      <vt:variant>
        <vt:i4>4587595</vt:i4>
      </vt:variant>
      <vt:variant>
        <vt:i4>24</vt:i4>
      </vt:variant>
      <vt:variant>
        <vt:i4>0</vt:i4>
      </vt:variant>
      <vt:variant>
        <vt:i4>5</vt:i4>
      </vt:variant>
      <vt:variant>
        <vt:lpwstr>https://statelaw.go.ke/wp-content/uploads/2022/04/3rd-Cycle-UPR-Implementation-Plan-2021-to-2025.pdf</vt:lpwstr>
      </vt:variant>
      <vt:variant>
        <vt:lpwstr/>
      </vt:variant>
      <vt:variant>
        <vt:i4>1966120</vt:i4>
      </vt:variant>
      <vt:variant>
        <vt:i4>21</vt:i4>
      </vt:variant>
      <vt:variant>
        <vt:i4>0</vt:i4>
      </vt:variant>
      <vt:variant>
        <vt:i4>5</vt:i4>
      </vt:variant>
      <vt:variant>
        <vt:lpwstr>https://www.knchr.org/Portals/0/InternationalObligationsReports/Accounting_For_Human_Rights_Protection_Under_the_UPR.pdf?ver=2013-02-21-150102-893</vt:lpwstr>
      </vt:variant>
      <vt:variant>
        <vt:lpwstr/>
      </vt:variant>
      <vt:variant>
        <vt:i4>3735612</vt:i4>
      </vt:variant>
      <vt:variant>
        <vt:i4>18</vt:i4>
      </vt:variant>
      <vt:variant>
        <vt:i4>0</vt:i4>
      </vt:variant>
      <vt:variant>
        <vt:i4>5</vt:i4>
      </vt:variant>
      <vt:variant>
        <vt:lpwstr>https://www.eachrights.or.ke/ssd/2024/03/Kenya-CSO-UPR-Mid-Term-Report.pdf</vt:lpwstr>
      </vt:variant>
      <vt:variant>
        <vt:lpwstr/>
      </vt:variant>
      <vt:variant>
        <vt:i4>5963857</vt:i4>
      </vt:variant>
      <vt:variant>
        <vt:i4>15</vt:i4>
      </vt:variant>
      <vt:variant>
        <vt:i4>0</vt:i4>
      </vt:variant>
      <vt:variant>
        <vt:i4>5</vt:i4>
      </vt:variant>
      <vt:variant>
        <vt:lpwstr>https://www.kelinkenya.org/kelin-participates-in-the-universal-periodic-review-kenya-stakeholders-meet-up/</vt:lpwstr>
      </vt:variant>
      <vt:variant>
        <vt:lpwstr>:~:text=On%2017th%20and%2018,Organizations%20working%20on%20Human%20Rights.</vt:lpwstr>
      </vt:variant>
      <vt:variant>
        <vt:i4>6029384</vt:i4>
      </vt:variant>
      <vt:variant>
        <vt:i4>12</vt:i4>
      </vt:variant>
      <vt:variant>
        <vt:i4>0</vt:i4>
      </vt:variant>
      <vt:variant>
        <vt:i4>5</vt:i4>
      </vt:variant>
      <vt:variant>
        <vt:lpwstr>https://tbinternet.ohchr.org/Treaties/CEDAW/Shared%25</vt:lpwstr>
      </vt:variant>
      <vt:variant>
        <vt:lpwstr/>
      </vt:variant>
      <vt:variant>
        <vt:i4>7208977</vt:i4>
      </vt:variant>
      <vt:variant>
        <vt:i4>9</vt:i4>
      </vt:variant>
      <vt:variant>
        <vt:i4>0</vt:i4>
      </vt:variant>
      <vt:variant>
        <vt:i4>5</vt:i4>
      </vt:variant>
      <vt:variant>
        <vt:lpwstr>https://upr.info/sites/default/files/country-document/2022-11/HRC_Statement_Presession42_Zambia.pdf</vt:lpwstr>
      </vt:variant>
      <vt:variant>
        <vt:lpwstr/>
      </vt:variant>
      <vt:variant>
        <vt:i4>983154</vt:i4>
      </vt:variant>
      <vt:variant>
        <vt:i4>6</vt:i4>
      </vt:variant>
      <vt:variant>
        <vt:i4>0</vt:i4>
      </vt:variant>
      <vt:variant>
        <vt:i4>5</vt:i4>
      </vt:variant>
      <vt:variant>
        <vt:lpwstr>https://childrightsconnect.org/wp-content/uploads/2018/01/en_factsheet-3.pdf</vt:lpwstr>
      </vt:variant>
      <vt:variant>
        <vt:lpwstr/>
      </vt:variant>
      <vt:variant>
        <vt:i4>4849670</vt:i4>
      </vt:variant>
      <vt:variant>
        <vt:i4>3</vt:i4>
      </vt:variant>
      <vt:variant>
        <vt:i4>0</vt:i4>
      </vt:variant>
      <vt:variant>
        <vt:i4>5</vt:i4>
      </vt:variant>
      <vt:variant>
        <vt:lpwstr>https://www.childrightsconnect.org/wp-content/uploads/2015/08/UPR-FS-3-NGO-Advocacy_ENGLISH_table.pdf</vt:lpwstr>
      </vt:variant>
      <vt:variant>
        <vt:lpwstr/>
      </vt:variant>
      <vt:variant>
        <vt:i4>1638403</vt:i4>
      </vt:variant>
      <vt:variant>
        <vt:i4>0</vt:i4>
      </vt:variant>
      <vt:variant>
        <vt:i4>0</vt:i4>
      </vt:variant>
      <vt:variant>
        <vt:i4>5</vt:i4>
      </vt:variant>
      <vt:variant>
        <vt:lpwstr>https://www.amnesty.org/en/documents/eur25/5178/2022/en/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Etone</dc:creator>
  <cp:keywords/>
  <dc:description/>
  <cp:lastModifiedBy>Brendan Owers</cp:lastModifiedBy>
  <cp:revision>48</cp:revision>
  <cp:lastPrinted>2025-07-07T09:23:00Z</cp:lastPrinted>
  <dcterms:created xsi:type="dcterms:W3CDTF">2025-07-21T16:00:00Z</dcterms:created>
  <dcterms:modified xsi:type="dcterms:W3CDTF">2026-07-20T13:07:00Z</dcterms:modified>
</cp:coreProperties>
</file>